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E52" w:rsidRPr="00C36A0A" w:rsidRDefault="00C36A0A">
      <w:pPr>
        <w:rPr>
          <w:b/>
          <w:color w:val="BF8F00" w:themeColor="accent4" w:themeShade="BF"/>
          <w:sz w:val="24"/>
          <w:szCs w:val="24"/>
        </w:rPr>
      </w:pPr>
      <w:r w:rsidRPr="00C36A0A">
        <w:rPr>
          <w:b/>
          <w:color w:val="BF8F00" w:themeColor="accent4" w:themeShade="BF"/>
          <w:sz w:val="24"/>
          <w:szCs w:val="24"/>
        </w:rPr>
        <w:t xml:space="preserve">Key Definitions for I&amp;R </w:t>
      </w:r>
      <w:bookmarkStart w:id="0" w:name="_GoBack"/>
      <w:bookmarkEnd w:id="0"/>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Agriculture work.</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“Agricultural work” means the production or initial processing of crops, dairy products, poultry, or livestock, as well as the cultivation or harvesting of trees. It consists of work performed for wages or personal subsistence. (Section 1309(2) of the ESEA, as amended; 34 CFR § 200.81(a); NRG, Ch. II, F1)</w:t>
      </w:r>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Certificate of Eligibility</w:t>
      </w:r>
      <w:r w:rsidR="005D0C87" w:rsidRPr="00C36A0A">
        <w:rPr>
          <w:rFonts w:ascii="Arial Narrow" w:hAnsi="Arial Narrow" w:cs="Arial"/>
          <w:b/>
          <w:color w:val="333333"/>
          <w:sz w:val="24"/>
          <w:szCs w:val="24"/>
          <w:shd w:val="clear" w:color="auto" w:fill="FFFFFF"/>
        </w:rPr>
        <w:t xml:space="preserve"> (COE)</w:t>
      </w:r>
      <w:r w:rsidRPr="00C36A0A">
        <w:rPr>
          <w:rFonts w:ascii="Arial Narrow" w:hAnsi="Arial Narrow" w:cs="Arial"/>
          <w:b/>
          <w:color w:val="333333"/>
          <w:sz w:val="24"/>
          <w:szCs w:val="24"/>
          <w:shd w:val="clear" w:color="auto" w:fill="FFFFFF"/>
        </w:rPr>
        <w:t>.</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The “Certificate of Eligibility,” also known by its acronym “COE” or the “National COE,” is a form established by the Secretary of Education that consists of required data elements and required data sections necessary for documenting a child’s eligibility for the MEP. (34 CFR § 200.89(c); NRG, Ch. II, H2).</w:t>
      </w:r>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Crop.</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A “crop” is a plant that is harvested for use by people or by livestock (NRG, Ch. II, F3).</w:t>
      </w:r>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Economic necessity.</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ED considers “economic necessity” to mean that the child and the worker (if the child is not the worker) moved because they could not afford to stay in the current location. The MEP is premised on the understanding that migratory children have unique needs in view of their mobility, and generally are in low-income families. The statutory requirement that a qualifying move be made due to economic necessity clarifies that, under the ESEA, economic necessity is integral to a move that makes a child a “migratory” child (NRG, Ch. II, D3).</w:t>
      </w:r>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Fishing work.</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“Fishing work” is the catching or initial processing of fish or shellfish, as well as the raising or harvesting of fish or shellfish at fish farms, that is performed for wages or personal subsistence (34 CFR § 200.81(c); NRG, Ch. II, F16).</w:t>
      </w:r>
    </w:p>
    <w:p w:rsidR="005D0C87" w:rsidRPr="00C36A0A" w:rsidRDefault="005D0C87" w:rsidP="005D0C87">
      <w:pPr>
        <w:rPr>
          <w:rFonts w:ascii="Arial Narrow" w:hAnsi="Arial Narrow"/>
          <w:sz w:val="24"/>
          <w:szCs w:val="24"/>
        </w:rPr>
      </w:pPr>
      <w:r w:rsidRPr="00C36A0A">
        <w:rPr>
          <w:rFonts w:ascii="Arial Narrow" w:hAnsi="Arial Narrow" w:cs="Arial"/>
          <w:b/>
          <w:color w:val="333333"/>
          <w:sz w:val="24"/>
          <w:szCs w:val="24"/>
          <w:shd w:val="clear" w:color="auto" w:fill="FFFFFF"/>
        </w:rPr>
        <w:t>Identification and Recruitment (I&amp;R).</w:t>
      </w:r>
      <w:r w:rsidRPr="00C36A0A">
        <w:rPr>
          <w:rFonts w:ascii="Arial Narrow" w:hAnsi="Arial Narrow" w:cs="Arial"/>
          <w:color w:val="333333"/>
          <w:sz w:val="24"/>
          <w:szCs w:val="24"/>
          <w:shd w:val="clear" w:color="auto" w:fill="FFFFFF"/>
        </w:rPr>
        <w:t xml:space="preserve"> “Identification” means determining the location and presence of migratory children. “Recruitment” means </w:t>
      </w:r>
      <w:proofErr w:type="gramStart"/>
      <w:r w:rsidRPr="00C36A0A">
        <w:rPr>
          <w:rFonts w:ascii="Arial Narrow" w:hAnsi="Arial Narrow" w:cs="Arial"/>
          <w:color w:val="333333"/>
          <w:sz w:val="24"/>
          <w:szCs w:val="24"/>
          <w:shd w:val="clear" w:color="auto" w:fill="FFFFFF"/>
        </w:rPr>
        <w:t>making contact with</w:t>
      </w:r>
      <w:proofErr w:type="gramEnd"/>
      <w:r w:rsidRPr="00C36A0A">
        <w:rPr>
          <w:rFonts w:ascii="Arial Narrow" w:hAnsi="Arial Narrow" w:cs="Arial"/>
          <w:color w:val="333333"/>
          <w:sz w:val="24"/>
          <w:szCs w:val="24"/>
          <w:shd w:val="clear" w:color="auto" w:fill="FFFFFF"/>
        </w:rPr>
        <w:t xml:space="preserve"> migratory families, explaining the MEP, securing the necessary information to make a determination that the child is eligible for the MEP, and recording the basis of the child’s eligibility on a COE or like form (</w:t>
      </w:r>
      <w:r w:rsidRPr="00C36A0A">
        <w:rPr>
          <w:rStyle w:val="Emphasis"/>
          <w:rFonts w:ascii="Arial Narrow" w:hAnsi="Arial Narrow" w:cs="Arial"/>
          <w:color w:val="333333"/>
          <w:sz w:val="24"/>
          <w:szCs w:val="24"/>
          <w:shd w:val="clear" w:color="auto" w:fill="FFFFFF"/>
        </w:rPr>
        <w:t>National ID&amp;R Manual</w:t>
      </w:r>
      <w:r w:rsidRPr="00C36A0A">
        <w:rPr>
          <w:rFonts w:ascii="Arial Narrow" w:hAnsi="Arial Narrow" w:cs="Arial"/>
          <w:color w:val="333333"/>
          <w:sz w:val="24"/>
          <w:szCs w:val="24"/>
          <w:shd w:val="clear" w:color="auto" w:fill="FFFFFF"/>
        </w:rPr>
        <w:t>, Chapter 1-6).</w:t>
      </w:r>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Join date.</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“Join date,” also referred to as “to join” date, refers to situations where the child and parent do not move together. The “to join” date is the day that the child and worker complete the move to be together. If the child’s move precedes the worker’s move, the Qualifying Arrival Date (QAD) is the date that the worker arrived. If the child’s move followed the worker’s move, the QAD is the date the child arrived (NRG, Ch. II, E3).</w:t>
      </w:r>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Livestock.</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The term “livestock” refers to any animal produced or kept primarily for breeding or slaughter purposes, including, but not limited to, beef cattle, hogs, sheep, goats, and horses. For purposes of the MEP, livestock does not include animals that are raised for sport, recreation, research, or pets. ED does not consider the term “livestock” to include animals hunted or captured in the wild (NRG, Ch. II, F6).</w:t>
      </w:r>
    </w:p>
    <w:p w:rsidR="00A85DA3" w:rsidRPr="00C36A0A" w:rsidRDefault="00FF74DD">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Migratory agricultural worker.</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The term “migratory agricultural worker” means an individual who made a qualifying move in the preceding 36 months and, after doing so, engaged in new temporary or seasonal employment or personal subsistence in agriculture, which may be dairy work or the initial processing of raw agricultural products. If an individual did not engage in such new employment soon after a qualifying move, such individual may be considered a migratory agricultural worker if the individual actively sought such new employment and has a recent history of moves for temporary or seasonal agricultural employment (Section 1309 (2) of the ESEA, as amended).</w:t>
      </w:r>
    </w:p>
    <w:p w:rsidR="00A85DA3" w:rsidRPr="00A85DA3" w:rsidRDefault="00FF74DD" w:rsidP="00A85DA3">
      <w:pPr>
        <w:shd w:val="clear" w:color="auto" w:fill="FFFFFF"/>
        <w:spacing w:after="300" w:line="240" w:lineRule="auto"/>
        <w:rPr>
          <w:rFonts w:ascii="Arial Narrow" w:eastAsia="Times New Roman" w:hAnsi="Arial Narrow" w:cs="Arial"/>
          <w:color w:val="333333"/>
          <w:sz w:val="24"/>
          <w:szCs w:val="24"/>
        </w:rPr>
      </w:pPr>
      <w:r w:rsidRPr="00C36A0A">
        <w:rPr>
          <w:rFonts w:ascii="Arial Narrow" w:eastAsia="Times New Roman" w:hAnsi="Arial Narrow" w:cs="Arial"/>
          <w:b/>
          <w:color w:val="333333"/>
          <w:sz w:val="24"/>
          <w:szCs w:val="24"/>
        </w:rPr>
        <w:lastRenderedPageBreak/>
        <w:t>Migratory child.</w:t>
      </w:r>
      <w:r w:rsidRPr="00C36A0A">
        <w:rPr>
          <w:rFonts w:ascii="Arial Narrow" w:eastAsia="Times New Roman" w:hAnsi="Arial Narrow" w:cs="Arial"/>
          <w:color w:val="333333"/>
          <w:sz w:val="24"/>
          <w:szCs w:val="24"/>
        </w:rPr>
        <w:t xml:space="preserve"> </w:t>
      </w:r>
      <w:r w:rsidR="00A85DA3" w:rsidRPr="00A85DA3">
        <w:rPr>
          <w:rFonts w:ascii="Arial Narrow" w:eastAsia="Times New Roman" w:hAnsi="Arial Narrow" w:cs="Arial"/>
          <w:color w:val="333333"/>
          <w:sz w:val="24"/>
          <w:szCs w:val="24"/>
        </w:rPr>
        <w:t>According to sections 1115(c)(1)(A) (incorporated into the MEP by sections 1304(c)(2), 1115(b), and 1309(3) of the ESEA, and 34 C.F.R. § 200.103(a) of ED’s Title I regulations) a child is a "migratory child" and is eligible for MEP services if all of the following conditions are met:</w:t>
      </w:r>
    </w:p>
    <w:p w:rsidR="00A85DA3" w:rsidRPr="00C36A0A" w:rsidRDefault="00A85DA3" w:rsidP="00FF74DD">
      <w:pPr>
        <w:pStyle w:val="ListParagraph"/>
        <w:numPr>
          <w:ilvl w:val="0"/>
          <w:numId w:val="2"/>
        </w:numPr>
        <w:shd w:val="clear" w:color="auto" w:fill="FFFFFF"/>
        <w:spacing w:after="0" w:line="240" w:lineRule="auto"/>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The child is not older than 21 years of age; </w:t>
      </w:r>
      <w:r w:rsidRPr="00C36A0A">
        <w:rPr>
          <w:rFonts w:ascii="Arial Narrow" w:eastAsia="Times New Roman" w:hAnsi="Arial Narrow" w:cs="Arial"/>
          <w:i/>
          <w:iCs/>
          <w:color w:val="333333"/>
          <w:sz w:val="24"/>
          <w:szCs w:val="24"/>
        </w:rPr>
        <w:t>and</w:t>
      </w:r>
    </w:p>
    <w:p w:rsidR="00A85DA3" w:rsidRPr="00C36A0A" w:rsidRDefault="00A85DA3" w:rsidP="003408AE">
      <w:pPr>
        <w:pStyle w:val="ListParagraph"/>
        <w:numPr>
          <w:ilvl w:val="0"/>
          <w:numId w:val="3"/>
        </w:numPr>
        <w:shd w:val="clear" w:color="auto" w:fill="FFFFFF"/>
        <w:spacing w:after="0" w:line="240" w:lineRule="auto"/>
        <w:ind w:left="1080"/>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The child is entitled to a free public education (through grade 12) under state law, </w:t>
      </w:r>
      <w:r w:rsidRPr="00C36A0A">
        <w:rPr>
          <w:rFonts w:ascii="Arial Narrow" w:eastAsia="Times New Roman" w:hAnsi="Arial Narrow" w:cs="Arial"/>
          <w:i/>
          <w:iCs/>
          <w:color w:val="333333"/>
          <w:sz w:val="24"/>
          <w:szCs w:val="24"/>
        </w:rPr>
        <w:t>or</w:t>
      </w:r>
    </w:p>
    <w:p w:rsidR="00A85DA3" w:rsidRPr="00C36A0A" w:rsidRDefault="00A85DA3" w:rsidP="003408AE">
      <w:pPr>
        <w:pStyle w:val="ListParagraph"/>
        <w:numPr>
          <w:ilvl w:val="0"/>
          <w:numId w:val="3"/>
        </w:numPr>
        <w:shd w:val="clear" w:color="auto" w:fill="FFFFFF"/>
        <w:spacing w:after="0" w:line="240" w:lineRule="auto"/>
        <w:ind w:left="1080"/>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The child is not yet at a grade level at which the LEA provides a free public education, </w:t>
      </w:r>
      <w:r w:rsidRPr="00C36A0A">
        <w:rPr>
          <w:rFonts w:ascii="Arial Narrow" w:eastAsia="Times New Roman" w:hAnsi="Arial Narrow" w:cs="Arial"/>
          <w:i/>
          <w:iCs/>
          <w:color w:val="333333"/>
          <w:sz w:val="24"/>
          <w:szCs w:val="24"/>
        </w:rPr>
        <w:t>and</w:t>
      </w:r>
    </w:p>
    <w:p w:rsidR="00A85DA3" w:rsidRPr="00C36A0A" w:rsidRDefault="00A85DA3" w:rsidP="00FF74DD">
      <w:pPr>
        <w:pStyle w:val="ListParagraph"/>
        <w:numPr>
          <w:ilvl w:val="0"/>
          <w:numId w:val="2"/>
        </w:numPr>
        <w:shd w:val="clear" w:color="auto" w:fill="FFFFFF"/>
        <w:spacing w:after="0" w:line="240" w:lineRule="auto"/>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The child made a qualifying move in the preceding 36 months as a migratory agricultural worker or a migratory fisher, or did so with, or to join a parent/guardian or spouse who is a migratory agricultural worker or a migratory fisher; </w:t>
      </w:r>
      <w:r w:rsidRPr="00C36A0A">
        <w:rPr>
          <w:rFonts w:ascii="Arial Narrow" w:eastAsia="Times New Roman" w:hAnsi="Arial Narrow" w:cs="Arial"/>
          <w:i/>
          <w:iCs/>
          <w:color w:val="333333"/>
          <w:sz w:val="24"/>
          <w:szCs w:val="24"/>
        </w:rPr>
        <w:t>and</w:t>
      </w:r>
    </w:p>
    <w:p w:rsidR="00A85DA3" w:rsidRPr="00C36A0A" w:rsidRDefault="00A85DA3" w:rsidP="00FF74DD">
      <w:pPr>
        <w:pStyle w:val="ListParagraph"/>
        <w:numPr>
          <w:ilvl w:val="0"/>
          <w:numId w:val="2"/>
        </w:numPr>
        <w:shd w:val="clear" w:color="auto" w:fill="FFFFFF"/>
        <w:spacing w:after="150" w:line="240" w:lineRule="auto"/>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With regard to the qualifying move identified in paragraph 3, above, the child moved due to economic necessity from one residence to another residence, and</w:t>
      </w:r>
    </w:p>
    <w:p w:rsidR="00A85DA3" w:rsidRPr="00C36A0A" w:rsidRDefault="00A85DA3" w:rsidP="003408AE">
      <w:pPr>
        <w:pStyle w:val="ListParagraph"/>
        <w:numPr>
          <w:ilvl w:val="0"/>
          <w:numId w:val="4"/>
        </w:numPr>
        <w:shd w:val="clear" w:color="auto" w:fill="FFFFFF"/>
        <w:spacing w:after="0" w:line="240" w:lineRule="auto"/>
        <w:ind w:left="1080"/>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From one school district to another; </w:t>
      </w:r>
      <w:r w:rsidRPr="00C36A0A">
        <w:rPr>
          <w:rFonts w:ascii="Arial Narrow" w:eastAsia="Times New Roman" w:hAnsi="Arial Narrow" w:cs="Arial"/>
          <w:i/>
          <w:iCs/>
          <w:color w:val="333333"/>
          <w:sz w:val="24"/>
          <w:szCs w:val="24"/>
        </w:rPr>
        <w:t>or</w:t>
      </w:r>
    </w:p>
    <w:p w:rsidR="00A85DA3" w:rsidRPr="00C36A0A" w:rsidRDefault="00A85DA3" w:rsidP="003408AE">
      <w:pPr>
        <w:pStyle w:val="ListParagraph"/>
        <w:numPr>
          <w:ilvl w:val="0"/>
          <w:numId w:val="4"/>
        </w:numPr>
        <w:shd w:val="clear" w:color="auto" w:fill="FFFFFF"/>
        <w:spacing w:after="0" w:line="240" w:lineRule="auto"/>
        <w:ind w:left="1080"/>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In a state that is comprised of a single school district, has moved from one administrative area to another with such district; </w:t>
      </w:r>
      <w:r w:rsidRPr="00C36A0A">
        <w:rPr>
          <w:rFonts w:ascii="Arial Narrow" w:eastAsia="Times New Roman" w:hAnsi="Arial Narrow" w:cs="Arial"/>
          <w:i/>
          <w:iCs/>
          <w:color w:val="333333"/>
          <w:sz w:val="24"/>
          <w:szCs w:val="24"/>
        </w:rPr>
        <w:t>or</w:t>
      </w:r>
    </w:p>
    <w:p w:rsidR="00A85DA3" w:rsidRPr="00C36A0A" w:rsidRDefault="00A85DA3" w:rsidP="003408AE">
      <w:pPr>
        <w:pStyle w:val="ListParagraph"/>
        <w:numPr>
          <w:ilvl w:val="0"/>
          <w:numId w:val="4"/>
        </w:numPr>
        <w:shd w:val="clear" w:color="auto" w:fill="FFFFFF"/>
        <w:spacing w:after="150" w:line="240" w:lineRule="auto"/>
        <w:ind w:left="1080"/>
        <w:rPr>
          <w:rFonts w:ascii="Arial Narrow" w:eastAsia="Times New Roman" w:hAnsi="Arial Narrow" w:cs="Arial"/>
          <w:color w:val="333333"/>
          <w:sz w:val="24"/>
          <w:szCs w:val="24"/>
        </w:rPr>
      </w:pPr>
      <w:r w:rsidRPr="00C36A0A">
        <w:rPr>
          <w:rFonts w:ascii="Arial Narrow" w:eastAsia="Times New Roman" w:hAnsi="Arial Narrow" w:cs="Arial"/>
          <w:color w:val="333333"/>
          <w:sz w:val="24"/>
          <w:szCs w:val="24"/>
        </w:rPr>
        <w:t>Resides in a school district of more than 15,000 square miles and migrates a distance of 20 miles or more to a temporary residence. (NRG, Ch. II, A1)</w:t>
      </w:r>
    </w:p>
    <w:p w:rsidR="00A85DA3" w:rsidRPr="00C36A0A" w:rsidRDefault="005D0C87">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Move.</w:t>
      </w:r>
      <w:r w:rsidRPr="00C36A0A">
        <w:rPr>
          <w:rFonts w:ascii="Arial Narrow" w:hAnsi="Arial Narrow" w:cs="Arial"/>
          <w:color w:val="333333"/>
          <w:sz w:val="24"/>
          <w:szCs w:val="24"/>
          <w:shd w:val="clear" w:color="auto" w:fill="FFFFFF"/>
        </w:rPr>
        <w:t xml:space="preserve"> </w:t>
      </w:r>
      <w:r w:rsidR="00A85DA3" w:rsidRPr="00C36A0A">
        <w:rPr>
          <w:rFonts w:ascii="Arial Narrow" w:hAnsi="Arial Narrow" w:cs="Arial"/>
          <w:color w:val="333333"/>
          <w:sz w:val="24"/>
          <w:szCs w:val="24"/>
          <w:shd w:val="clear" w:color="auto" w:fill="FFFFFF"/>
        </w:rPr>
        <w:t>The terms “move” or “moved” mean a change from one residence to another residence that occurs due to economic necessity [34 CFR § 200.81(j)].</w:t>
      </w:r>
    </w:p>
    <w:p w:rsidR="00FF74DD" w:rsidRPr="00C36A0A" w:rsidRDefault="005D0C87">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Personal subsistence.</w:t>
      </w:r>
      <w:r w:rsidRPr="00C36A0A">
        <w:rPr>
          <w:rFonts w:ascii="Arial Narrow" w:hAnsi="Arial Narrow" w:cs="Arial"/>
          <w:color w:val="333333"/>
          <w:sz w:val="24"/>
          <w:szCs w:val="24"/>
          <w:shd w:val="clear" w:color="auto" w:fill="FFFFFF"/>
        </w:rPr>
        <w:t xml:space="preserve"> </w:t>
      </w:r>
      <w:r w:rsidR="00FF74DD" w:rsidRPr="00C36A0A">
        <w:rPr>
          <w:rFonts w:ascii="Arial Narrow" w:hAnsi="Arial Narrow" w:cs="Arial"/>
          <w:color w:val="333333"/>
          <w:sz w:val="24"/>
          <w:szCs w:val="24"/>
          <w:shd w:val="clear" w:color="auto" w:fill="FFFFFF"/>
        </w:rPr>
        <w:t>As used in the definitions of migratory agricultural worker and migratory fisher in sections 1309(2) and 1309(4) of the ESEA, as amended, and the definitions of agricultural work and fishing work, and as defined in 34 CFR § 200.81(m),“personal subsistence” means that the worker and the worker’s family, as a matter of economic necessity, consume, as a substantial portion of their food intake, the crops, dairy products, or livestock they produce or the fish they catch (NRG, Ch. II, F28).</w:t>
      </w:r>
    </w:p>
    <w:p w:rsidR="00FF74DD" w:rsidRPr="00C36A0A" w:rsidRDefault="005D0C87">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Qualifying arrival date (QAD).</w:t>
      </w:r>
      <w:r w:rsidRPr="00C36A0A">
        <w:rPr>
          <w:rFonts w:ascii="Arial Narrow" w:hAnsi="Arial Narrow" w:cs="Arial"/>
          <w:color w:val="333333"/>
          <w:sz w:val="24"/>
          <w:szCs w:val="24"/>
          <w:shd w:val="clear" w:color="auto" w:fill="FFFFFF"/>
        </w:rPr>
        <w:t xml:space="preserve"> </w:t>
      </w:r>
      <w:r w:rsidR="00FF74DD" w:rsidRPr="00C36A0A">
        <w:rPr>
          <w:rFonts w:ascii="Arial Narrow" w:hAnsi="Arial Narrow" w:cs="Arial"/>
          <w:color w:val="333333"/>
          <w:sz w:val="24"/>
          <w:szCs w:val="24"/>
          <w:shd w:val="clear" w:color="auto" w:fill="FFFFFF"/>
        </w:rPr>
        <w:t>A child’s eligibility for the MEP begins when the child completes a qualifying move. This is often referred to as the “qualifying arrival date” (QAD) for purposes of the COE. In situations where the child and parent do not move together, the “to join” date is the day that the child and worker complete the move to be together. If the child’s move precedes the worker’s move, the qualifying arrival date is the date that the worker arrived. If the child’s move followed the worker’s move, the QAD is the date the child arrived. The reason for this is that the child does not establish eligibility as a migratory child until he or she physically arrives in the receiving school district (NRG, Ch. II, E3).</w:t>
      </w:r>
    </w:p>
    <w:p w:rsidR="00FF74DD" w:rsidRPr="00C36A0A" w:rsidRDefault="005D0C87">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Qualifying move.</w:t>
      </w:r>
      <w:r w:rsidRPr="00C36A0A">
        <w:rPr>
          <w:rFonts w:ascii="Arial Narrow" w:hAnsi="Arial Narrow" w:cs="Arial"/>
          <w:color w:val="333333"/>
          <w:sz w:val="24"/>
          <w:szCs w:val="24"/>
          <w:shd w:val="clear" w:color="auto" w:fill="FFFFFF"/>
        </w:rPr>
        <w:t xml:space="preserve"> </w:t>
      </w:r>
      <w:r w:rsidR="00FF74DD" w:rsidRPr="00C36A0A">
        <w:rPr>
          <w:rFonts w:ascii="Arial Narrow" w:hAnsi="Arial Narrow" w:cs="Arial"/>
          <w:color w:val="333333"/>
          <w:sz w:val="24"/>
          <w:szCs w:val="24"/>
          <w:shd w:val="clear" w:color="auto" w:fill="FFFFFF"/>
        </w:rPr>
        <w:t>The term “qualifying move” means a move due to economic necessity (A) from one residence to another residence; and (B) from one school district to another school district, except (</w:t>
      </w:r>
      <w:proofErr w:type="spellStart"/>
      <w:r w:rsidR="00FF74DD" w:rsidRPr="00C36A0A">
        <w:rPr>
          <w:rFonts w:ascii="Arial Narrow" w:hAnsi="Arial Narrow" w:cs="Arial"/>
          <w:color w:val="333333"/>
          <w:sz w:val="24"/>
          <w:szCs w:val="24"/>
          <w:shd w:val="clear" w:color="auto" w:fill="FFFFFF"/>
        </w:rPr>
        <w:t>i</w:t>
      </w:r>
      <w:proofErr w:type="spellEnd"/>
      <w:r w:rsidR="00FF74DD" w:rsidRPr="00C36A0A">
        <w:rPr>
          <w:rFonts w:ascii="Arial Narrow" w:hAnsi="Arial Narrow" w:cs="Arial"/>
          <w:color w:val="333333"/>
          <w:sz w:val="24"/>
          <w:szCs w:val="24"/>
          <w:shd w:val="clear" w:color="auto" w:fill="FFFFFF"/>
        </w:rPr>
        <w:t>) in the case of a state that is comprised of a single school district, wherein a qualifying move is from one administrative area to another within such district; or (ii) in the case of a school district of more than 15,000 square miles, where a qualifying move is a distance of 20 miles or more (Section 1309(5) of the ESEA, as amended; NRG, Ch. II, D1).</w:t>
      </w:r>
    </w:p>
    <w:p w:rsidR="00FF74DD" w:rsidRPr="00C36A0A" w:rsidRDefault="005D0C87">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Qualifying work.</w:t>
      </w:r>
      <w:r w:rsidRPr="00C36A0A">
        <w:rPr>
          <w:rFonts w:ascii="Arial Narrow" w:hAnsi="Arial Narrow" w:cs="Arial"/>
          <w:color w:val="333333"/>
          <w:sz w:val="24"/>
          <w:szCs w:val="24"/>
          <w:shd w:val="clear" w:color="auto" w:fill="FFFFFF"/>
        </w:rPr>
        <w:t xml:space="preserve"> </w:t>
      </w:r>
      <w:r w:rsidR="00FF74DD" w:rsidRPr="00C36A0A">
        <w:rPr>
          <w:rFonts w:ascii="Arial Narrow" w:hAnsi="Arial Narrow" w:cs="Arial"/>
          <w:color w:val="333333"/>
          <w:sz w:val="24"/>
          <w:szCs w:val="24"/>
          <w:shd w:val="clear" w:color="auto" w:fill="FFFFFF"/>
        </w:rPr>
        <w:t>“Qualifying work” means temporary or seasonal employment or personal subsistence in agriculture work or fishing work (34 CFR § 200.81(n); NRG, Ch. II, C3).</w:t>
      </w:r>
    </w:p>
    <w:p w:rsidR="00FF74DD" w:rsidRPr="00FF74DD" w:rsidRDefault="005D0C87" w:rsidP="00FF74DD">
      <w:pPr>
        <w:shd w:val="clear" w:color="auto" w:fill="FFFFFF"/>
        <w:spacing w:after="300" w:line="240" w:lineRule="auto"/>
        <w:rPr>
          <w:rFonts w:ascii="Arial Narrow" w:eastAsia="Times New Roman" w:hAnsi="Arial Narrow" w:cs="Arial"/>
          <w:color w:val="333333"/>
          <w:sz w:val="24"/>
          <w:szCs w:val="24"/>
        </w:rPr>
      </w:pPr>
      <w:r w:rsidRPr="00C36A0A">
        <w:rPr>
          <w:rFonts w:ascii="Arial Narrow" w:eastAsia="Times New Roman" w:hAnsi="Arial Narrow" w:cs="Arial"/>
          <w:b/>
          <w:color w:val="333333"/>
          <w:sz w:val="24"/>
          <w:szCs w:val="24"/>
        </w:rPr>
        <w:lastRenderedPageBreak/>
        <w:t>Quality control.</w:t>
      </w:r>
      <w:r w:rsidRPr="00C36A0A">
        <w:rPr>
          <w:rFonts w:ascii="Arial Narrow" w:eastAsia="Times New Roman" w:hAnsi="Arial Narrow" w:cs="Arial"/>
          <w:color w:val="333333"/>
          <w:sz w:val="24"/>
          <w:szCs w:val="24"/>
        </w:rPr>
        <w:t xml:space="preserve"> </w:t>
      </w:r>
      <w:proofErr w:type="gramStart"/>
      <w:r w:rsidR="00FF74DD" w:rsidRPr="00FF74DD">
        <w:rPr>
          <w:rFonts w:ascii="Arial Narrow" w:eastAsia="Times New Roman" w:hAnsi="Arial Narrow" w:cs="Arial"/>
          <w:color w:val="333333"/>
          <w:sz w:val="24"/>
          <w:szCs w:val="24"/>
        </w:rPr>
        <w:t>An</w:t>
      </w:r>
      <w:proofErr w:type="gramEnd"/>
      <w:r w:rsidR="00FF74DD" w:rsidRPr="00FF74DD">
        <w:rPr>
          <w:rFonts w:ascii="Arial Narrow" w:eastAsia="Times New Roman" w:hAnsi="Arial Narrow" w:cs="Arial"/>
          <w:color w:val="333333"/>
          <w:sz w:val="24"/>
          <w:szCs w:val="24"/>
        </w:rPr>
        <w:t xml:space="preserve"> SEA must establish and implement a system of quality controls for the proper identification and recruitment of eligible migratory children on a statewide basis. At a minimum, this system of quality controls must include the following components:</w:t>
      </w:r>
    </w:p>
    <w:p w:rsidR="00FF74DD" w:rsidRPr="00FF74DD" w:rsidRDefault="00FF74DD" w:rsidP="005D0C87">
      <w:pPr>
        <w:shd w:val="clear" w:color="auto" w:fill="FFFFFF"/>
        <w:spacing w:after="300" w:line="240" w:lineRule="auto"/>
        <w:ind w:left="720"/>
        <w:rPr>
          <w:rFonts w:ascii="Arial Narrow" w:eastAsia="Times New Roman" w:hAnsi="Arial Narrow" w:cs="Arial"/>
          <w:color w:val="333333"/>
          <w:sz w:val="24"/>
          <w:szCs w:val="24"/>
        </w:rPr>
      </w:pPr>
      <w:r w:rsidRPr="00FF74DD">
        <w:rPr>
          <w:rFonts w:ascii="Arial Narrow" w:eastAsia="Times New Roman" w:hAnsi="Arial Narrow" w:cs="Arial"/>
          <w:color w:val="333333"/>
          <w:sz w:val="24"/>
          <w:szCs w:val="24"/>
        </w:rPr>
        <w:t>(1) training to ensure that recruiters and all other staff involved in determining eligibility and in conducting quality control procedures know the requirements for accurately determining and documenting child eligibility under the MEP</w:t>
      </w:r>
    </w:p>
    <w:p w:rsidR="00FF74DD" w:rsidRPr="00FF74DD" w:rsidRDefault="00FF74DD" w:rsidP="005D0C87">
      <w:pPr>
        <w:shd w:val="clear" w:color="auto" w:fill="FFFFFF"/>
        <w:spacing w:after="300" w:line="240" w:lineRule="auto"/>
        <w:ind w:left="720"/>
        <w:rPr>
          <w:rFonts w:ascii="Arial Narrow" w:eastAsia="Times New Roman" w:hAnsi="Arial Narrow" w:cs="Arial"/>
          <w:color w:val="333333"/>
          <w:sz w:val="24"/>
          <w:szCs w:val="24"/>
        </w:rPr>
      </w:pPr>
      <w:r w:rsidRPr="00FF74DD">
        <w:rPr>
          <w:rFonts w:ascii="Arial Narrow" w:eastAsia="Times New Roman" w:hAnsi="Arial Narrow" w:cs="Arial"/>
          <w:color w:val="333333"/>
          <w:sz w:val="24"/>
          <w:szCs w:val="24"/>
        </w:rPr>
        <w:t>(2) supervision and annual review and evaluation of the identification and recruitment practices of individual recruiters</w:t>
      </w:r>
    </w:p>
    <w:p w:rsidR="00FF74DD" w:rsidRPr="00FF74DD" w:rsidRDefault="00FF74DD" w:rsidP="005D0C87">
      <w:pPr>
        <w:shd w:val="clear" w:color="auto" w:fill="FFFFFF"/>
        <w:spacing w:after="300" w:line="240" w:lineRule="auto"/>
        <w:ind w:left="720"/>
        <w:rPr>
          <w:rFonts w:ascii="Arial Narrow" w:eastAsia="Times New Roman" w:hAnsi="Arial Narrow" w:cs="Arial"/>
          <w:color w:val="333333"/>
          <w:sz w:val="24"/>
          <w:szCs w:val="24"/>
        </w:rPr>
      </w:pPr>
      <w:r w:rsidRPr="00FF74DD">
        <w:rPr>
          <w:rFonts w:ascii="Arial Narrow" w:eastAsia="Times New Roman" w:hAnsi="Arial Narrow" w:cs="Arial"/>
          <w:color w:val="333333"/>
          <w:sz w:val="24"/>
          <w:szCs w:val="24"/>
        </w:rPr>
        <w:t>(3) a formal process for resolving eligibility questions raised by recruiters and their supervisors and for ensuring that this information is communicated to all LOAs</w:t>
      </w:r>
    </w:p>
    <w:p w:rsidR="00FF74DD" w:rsidRPr="00FF74DD" w:rsidRDefault="00FF74DD" w:rsidP="005D0C87">
      <w:pPr>
        <w:shd w:val="clear" w:color="auto" w:fill="FFFFFF"/>
        <w:spacing w:after="300" w:line="240" w:lineRule="auto"/>
        <w:ind w:left="720"/>
        <w:rPr>
          <w:rFonts w:ascii="Arial Narrow" w:eastAsia="Times New Roman" w:hAnsi="Arial Narrow" w:cs="Arial"/>
          <w:color w:val="333333"/>
          <w:sz w:val="24"/>
          <w:szCs w:val="24"/>
        </w:rPr>
      </w:pPr>
      <w:r w:rsidRPr="00FF74DD">
        <w:rPr>
          <w:rFonts w:ascii="Arial Narrow" w:eastAsia="Times New Roman" w:hAnsi="Arial Narrow" w:cs="Arial"/>
          <w:color w:val="333333"/>
          <w:sz w:val="24"/>
          <w:szCs w:val="24"/>
        </w:rPr>
        <w:t>(4) an examination by qualified individuals at the SEA or LOA level of each COE to verify that the written documentation is sufficient and that, based on the recorded data, the child is eligible for MEP services</w:t>
      </w:r>
    </w:p>
    <w:p w:rsidR="00FF74DD" w:rsidRPr="00FF74DD" w:rsidRDefault="00FF74DD" w:rsidP="005D0C87">
      <w:pPr>
        <w:shd w:val="clear" w:color="auto" w:fill="FFFFFF"/>
        <w:spacing w:after="300" w:line="240" w:lineRule="auto"/>
        <w:ind w:left="720"/>
        <w:rPr>
          <w:rFonts w:ascii="Arial Narrow" w:eastAsia="Times New Roman" w:hAnsi="Arial Narrow" w:cs="Arial"/>
          <w:color w:val="333333"/>
          <w:sz w:val="24"/>
          <w:szCs w:val="24"/>
        </w:rPr>
      </w:pPr>
      <w:r w:rsidRPr="00FF74DD">
        <w:rPr>
          <w:rFonts w:ascii="Arial Narrow" w:eastAsia="Times New Roman" w:hAnsi="Arial Narrow" w:cs="Arial"/>
          <w:color w:val="333333"/>
          <w:sz w:val="24"/>
          <w:szCs w:val="24"/>
        </w:rPr>
        <w:t>(5) a process for the SEA to validate that eligibility determinations were properly made, including conducting prospective re-interviewing as described in paragraph (b)(2)</w:t>
      </w:r>
    </w:p>
    <w:p w:rsidR="00FF74DD" w:rsidRPr="00FF74DD" w:rsidRDefault="00FF74DD" w:rsidP="005D0C87">
      <w:pPr>
        <w:shd w:val="clear" w:color="auto" w:fill="FFFFFF"/>
        <w:spacing w:after="300" w:line="240" w:lineRule="auto"/>
        <w:ind w:left="720"/>
        <w:rPr>
          <w:rFonts w:ascii="Arial Narrow" w:eastAsia="Times New Roman" w:hAnsi="Arial Narrow" w:cs="Arial"/>
          <w:color w:val="333333"/>
          <w:sz w:val="24"/>
          <w:szCs w:val="24"/>
        </w:rPr>
      </w:pPr>
      <w:r w:rsidRPr="00FF74DD">
        <w:rPr>
          <w:rFonts w:ascii="Arial Narrow" w:eastAsia="Times New Roman" w:hAnsi="Arial Narrow" w:cs="Arial"/>
          <w:color w:val="333333"/>
          <w:sz w:val="24"/>
          <w:szCs w:val="24"/>
        </w:rPr>
        <w:t>(6) documentation that supports the SEA's implementation of this quality-control system and of a record of actions taken to improve the system where periodic reviews and evaluations indicate a need to do so</w:t>
      </w:r>
    </w:p>
    <w:p w:rsidR="00FF74DD" w:rsidRPr="00FF74DD" w:rsidRDefault="00FF74DD" w:rsidP="005D0C87">
      <w:pPr>
        <w:shd w:val="clear" w:color="auto" w:fill="FFFFFF"/>
        <w:spacing w:after="300" w:line="240" w:lineRule="auto"/>
        <w:ind w:left="720"/>
        <w:rPr>
          <w:rFonts w:ascii="Arial Narrow" w:eastAsia="Times New Roman" w:hAnsi="Arial Narrow" w:cs="Arial"/>
          <w:color w:val="333333"/>
          <w:sz w:val="24"/>
          <w:szCs w:val="24"/>
        </w:rPr>
      </w:pPr>
      <w:r w:rsidRPr="00FF74DD">
        <w:rPr>
          <w:rFonts w:ascii="Arial Narrow" w:eastAsia="Times New Roman" w:hAnsi="Arial Narrow" w:cs="Arial"/>
          <w:color w:val="333333"/>
          <w:sz w:val="24"/>
          <w:szCs w:val="24"/>
        </w:rPr>
        <w:t>(7) a process for implementing corrective action if the SEA finds COEs that do not sufficiently document a child's eligibility for the MEP, or in response to internal state audit findings and recommendations, or monitoring or audit findings of the Secretary. (34 CFR § 200.89(d))</w:t>
      </w:r>
    </w:p>
    <w:p w:rsidR="00FF74DD" w:rsidRPr="00C36A0A" w:rsidRDefault="005D0C87">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Re-interviewing.</w:t>
      </w:r>
      <w:r w:rsidRPr="00C36A0A">
        <w:rPr>
          <w:rFonts w:ascii="Arial Narrow" w:hAnsi="Arial Narrow" w:cs="Arial"/>
          <w:color w:val="333333"/>
          <w:sz w:val="24"/>
          <w:szCs w:val="24"/>
          <w:shd w:val="clear" w:color="auto" w:fill="FFFFFF"/>
        </w:rPr>
        <w:t xml:space="preserve"> </w:t>
      </w:r>
      <w:r w:rsidR="00FF74DD" w:rsidRPr="00C36A0A">
        <w:rPr>
          <w:rFonts w:ascii="Arial Narrow" w:hAnsi="Arial Narrow" w:cs="Arial"/>
          <w:color w:val="333333"/>
          <w:sz w:val="24"/>
          <w:szCs w:val="24"/>
          <w:shd w:val="clear" w:color="auto" w:fill="FFFFFF"/>
        </w:rPr>
        <w:t>“Re-interviewing” is the process of checking the eligibility determinations recorded on a State’s COEs. It involves independently interviewing families and checking each criterion that makes children eligible for the MEP. States can use prospective re-interviewing for quality control before submission of annual child counts. Or states can use retrospective re-interviewing, which establishes valid and reliable defect rates that measure the quality of a state's eligibility determinations for an entire child count year (i.e., eligibility determinations made over the course of a three-year period) (34 CFR § 200.89(a)(2); </w:t>
      </w:r>
      <w:r w:rsidR="00FF74DD" w:rsidRPr="00C36A0A">
        <w:rPr>
          <w:rStyle w:val="Emphasis"/>
          <w:rFonts w:ascii="Arial Narrow" w:hAnsi="Arial Narrow" w:cs="Arial"/>
          <w:color w:val="333333"/>
          <w:sz w:val="24"/>
          <w:szCs w:val="24"/>
          <w:shd w:val="clear" w:color="auto" w:fill="FFFFFF"/>
        </w:rPr>
        <w:t>Technical Assistance Guide on Re-interviewing</w:t>
      </w:r>
      <w:r w:rsidR="00FF74DD" w:rsidRPr="00C36A0A">
        <w:rPr>
          <w:rFonts w:ascii="Arial Narrow" w:hAnsi="Arial Narrow" w:cs="Arial"/>
          <w:color w:val="333333"/>
          <w:sz w:val="24"/>
          <w:szCs w:val="24"/>
          <w:shd w:val="clear" w:color="auto" w:fill="FFFFFF"/>
        </w:rPr>
        <w:t>).</w:t>
      </w:r>
    </w:p>
    <w:p w:rsidR="00FF74DD" w:rsidRPr="00FF74DD" w:rsidRDefault="005D0C87" w:rsidP="00FF74DD">
      <w:pPr>
        <w:shd w:val="clear" w:color="auto" w:fill="FFFFFF"/>
        <w:spacing w:after="300" w:line="240" w:lineRule="auto"/>
        <w:rPr>
          <w:rFonts w:ascii="Arial Narrow" w:eastAsia="Times New Roman" w:hAnsi="Arial Narrow" w:cs="Arial"/>
          <w:color w:val="333333"/>
          <w:sz w:val="24"/>
          <w:szCs w:val="24"/>
        </w:rPr>
      </w:pPr>
      <w:r w:rsidRPr="00C36A0A">
        <w:rPr>
          <w:rFonts w:ascii="Arial Narrow" w:eastAsia="Times New Roman" w:hAnsi="Arial Narrow" w:cs="Arial"/>
          <w:b/>
          <w:color w:val="333333"/>
          <w:sz w:val="24"/>
          <w:szCs w:val="24"/>
        </w:rPr>
        <w:t>Seasonal employment.</w:t>
      </w:r>
      <w:r w:rsidRPr="00C36A0A">
        <w:rPr>
          <w:rFonts w:ascii="Arial Narrow" w:eastAsia="Times New Roman" w:hAnsi="Arial Narrow" w:cs="Arial"/>
          <w:color w:val="333333"/>
          <w:sz w:val="24"/>
          <w:szCs w:val="24"/>
        </w:rPr>
        <w:t xml:space="preserve"> </w:t>
      </w:r>
      <w:r w:rsidR="00FF74DD" w:rsidRPr="00FF74DD">
        <w:rPr>
          <w:rFonts w:ascii="Arial Narrow" w:eastAsia="Times New Roman" w:hAnsi="Arial Narrow" w:cs="Arial"/>
          <w:color w:val="333333"/>
          <w:sz w:val="24"/>
          <w:szCs w:val="24"/>
        </w:rPr>
        <w:t>“Seasonal employment” means employment that occurs only during a certain period of the year because of the cycles of nature and that, by its nature, may not be continuous or carried on throughout the year (34 CFR § 200.81(o); NRG, Ch. II, G1).</w:t>
      </w:r>
    </w:p>
    <w:p w:rsidR="00FF74DD" w:rsidRPr="00C36A0A" w:rsidRDefault="005D0C87">
      <w:pPr>
        <w:rPr>
          <w:rFonts w:ascii="Arial Narrow" w:hAnsi="Arial Narrow" w:cs="Arial"/>
          <w:color w:val="333333"/>
          <w:sz w:val="24"/>
          <w:szCs w:val="24"/>
          <w:shd w:val="clear" w:color="auto" w:fill="FFFFFF"/>
        </w:rPr>
      </w:pPr>
      <w:r w:rsidRPr="00C36A0A">
        <w:rPr>
          <w:rFonts w:ascii="Arial Narrow" w:hAnsi="Arial Narrow" w:cs="Arial"/>
          <w:b/>
          <w:color w:val="333333"/>
          <w:sz w:val="24"/>
          <w:szCs w:val="24"/>
          <w:shd w:val="clear" w:color="auto" w:fill="FFFFFF"/>
        </w:rPr>
        <w:t>Soon after the move.</w:t>
      </w:r>
      <w:r w:rsidRPr="00C36A0A">
        <w:rPr>
          <w:rFonts w:ascii="Arial Narrow" w:hAnsi="Arial Narrow" w:cs="Arial"/>
          <w:color w:val="333333"/>
          <w:sz w:val="24"/>
          <w:szCs w:val="24"/>
          <w:shd w:val="clear" w:color="auto" w:fill="FFFFFF"/>
        </w:rPr>
        <w:t xml:space="preserve"> </w:t>
      </w:r>
      <w:r w:rsidR="00FF74DD" w:rsidRPr="00C36A0A">
        <w:rPr>
          <w:rFonts w:ascii="Arial Narrow" w:hAnsi="Arial Narrow" w:cs="Arial"/>
          <w:color w:val="333333"/>
          <w:sz w:val="24"/>
          <w:szCs w:val="24"/>
          <w:shd w:val="clear" w:color="auto" w:fill="FFFFFF"/>
        </w:rPr>
        <w:t xml:space="preserve">The ESEA, as amended by the ESSA, establishes that whether one may be considered a migratory agricultural worker or fisher depends whether the individual engaged in qualifying work soon after the move. For purposes of the MEP, ED recommends that “soon after the move” be within 60 days of the worker's move. A 60-day window allows for extenuating circumstances that would delay an </w:t>
      </w:r>
      <w:r w:rsidR="00FF74DD" w:rsidRPr="00C36A0A">
        <w:rPr>
          <w:rFonts w:ascii="Arial Narrow" w:hAnsi="Arial Narrow" w:cs="Arial"/>
          <w:color w:val="333333"/>
          <w:sz w:val="24"/>
          <w:szCs w:val="24"/>
          <w:shd w:val="clear" w:color="auto" w:fill="FFFFFF"/>
        </w:rPr>
        <w:lastRenderedPageBreak/>
        <w:t>individual's engagement in new qualifying work immediately after the move (e.g., local conditions in agricultural or fishing operations, illness, or other personal circumstances), while still providing a reasonable temporal connection between the move and the worker’s engagement in qualifying work (NRG, Ch. II, C5).</w:t>
      </w:r>
    </w:p>
    <w:p w:rsidR="00FF74DD" w:rsidRPr="00FF74DD" w:rsidRDefault="005D0C87" w:rsidP="00FF74DD">
      <w:pPr>
        <w:shd w:val="clear" w:color="auto" w:fill="FFFFFF"/>
        <w:spacing w:after="300" w:line="240" w:lineRule="auto"/>
        <w:rPr>
          <w:rFonts w:ascii="Arial Narrow" w:eastAsia="Times New Roman" w:hAnsi="Arial Narrow" w:cs="Arial"/>
          <w:color w:val="333333"/>
          <w:sz w:val="24"/>
          <w:szCs w:val="24"/>
        </w:rPr>
      </w:pPr>
      <w:r w:rsidRPr="00C36A0A">
        <w:rPr>
          <w:rFonts w:ascii="Arial Narrow" w:eastAsia="Times New Roman" w:hAnsi="Arial Narrow" w:cs="Arial"/>
          <w:b/>
          <w:color w:val="333333"/>
          <w:sz w:val="24"/>
          <w:szCs w:val="24"/>
        </w:rPr>
        <w:t>Temporary employment.</w:t>
      </w:r>
      <w:r w:rsidRPr="00C36A0A">
        <w:rPr>
          <w:rFonts w:ascii="Arial Narrow" w:eastAsia="Times New Roman" w:hAnsi="Arial Narrow" w:cs="Arial"/>
          <w:color w:val="333333"/>
          <w:sz w:val="24"/>
          <w:szCs w:val="24"/>
        </w:rPr>
        <w:t xml:space="preserve"> </w:t>
      </w:r>
      <w:r w:rsidR="00FF74DD" w:rsidRPr="00FF74DD">
        <w:rPr>
          <w:rFonts w:ascii="Arial Narrow" w:eastAsia="Times New Roman" w:hAnsi="Arial Narrow" w:cs="Arial"/>
          <w:color w:val="333333"/>
          <w:sz w:val="24"/>
          <w:szCs w:val="24"/>
        </w:rPr>
        <w:t>“Temporary employment” means employment that lasts for a limited period of time, usually a few months, but no longer than 12 months. It typically includes employment where the employer states that the worker was hired for a limited time frame; the worker states that the worker does not intend to remain in that employment indefinitely; or the SEA has determined on some other reasonable basis that the employment is temporary. (34 CFR § 200.81(p); NRG, Ch. II, G5-G6).</w:t>
      </w:r>
    </w:p>
    <w:p w:rsidR="00FF74DD" w:rsidRDefault="00FF74DD"/>
    <w:p w:rsidR="00FF74DD" w:rsidRDefault="00FF74DD"/>
    <w:sectPr w:rsidR="00FF7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1AB1"/>
    <w:multiLevelType w:val="hybridMultilevel"/>
    <w:tmpl w:val="EA36D8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87504"/>
    <w:multiLevelType w:val="hybridMultilevel"/>
    <w:tmpl w:val="A42A8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141F4"/>
    <w:multiLevelType w:val="multilevel"/>
    <w:tmpl w:val="D42085E0"/>
    <w:lvl w:ilvl="0">
      <w:start w:val="1"/>
      <w:numFmt w:val="decimal"/>
      <w:lvlText w:val="%1."/>
      <w:lvlJc w:val="left"/>
      <w:pPr>
        <w:tabs>
          <w:tab w:val="num" w:pos="1320"/>
        </w:tabs>
        <w:ind w:left="1320" w:hanging="360"/>
      </w:pPr>
    </w:lvl>
    <w:lvl w:ilvl="1">
      <w:start w:val="1"/>
      <w:numFmt w:val="lowerLetter"/>
      <w:lvlText w:val="%2."/>
      <w:lvlJc w:val="left"/>
      <w:pPr>
        <w:tabs>
          <w:tab w:val="num" w:pos="2040"/>
        </w:tabs>
        <w:ind w:left="2040" w:hanging="360"/>
      </w:pPr>
    </w:lvl>
    <w:lvl w:ilvl="2" w:tentative="1">
      <w:start w:val="1"/>
      <w:numFmt w:val="decimal"/>
      <w:lvlText w:val="%3."/>
      <w:lvlJc w:val="left"/>
      <w:pPr>
        <w:tabs>
          <w:tab w:val="num" w:pos="2760"/>
        </w:tabs>
        <w:ind w:left="2760" w:hanging="360"/>
      </w:pPr>
    </w:lvl>
    <w:lvl w:ilvl="3" w:tentative="1">
      <w:start w:val="1"/>
      <w:numFmt w:val="decimal"/>
      <w:lvlText w:val="%4."/>
      <w:lvlJc w:val="left"/>
      <w:pPr>
        <w:tabs>
          <w:tab w:val="num" w:pos="3480"/>
        </w:tabs>
        <w:ind w:left="3480" w:hanging="360"/>
      </w:pPr>
    </w:lvl>
    <w:lvl w:ilvl="4" w:tentative="1">
      <w:start w:val="1"/>
      <w:numFmt w:val="decimal"/>
      <w:lvlText w:val="%5."/>
      <w:lvlJc w:val="left"/>
      <w:pPr>
        <w:tabs>
          <w:tab w:val="num" w:pos="4200"/>
        </w:tabs>
        <w:ind w:left="4200" w:hanging="360"/>
      </w:pPr>
    </w:lvl>
    <w:lvl w:ilvl="5" w:tentative="1">
      <w:start w:val="1"/>
      <w:numFmt w:val="decimal"/>
      <w:lvlText w:val="%6."/>
      <w:lvlJc w:val="left"/>
      <w:pPr>
        <w:tabs>
          <w:tab w:val="num" w:pos="4920"/>
        </w:tabs>
        <w:ind w:left="4920" w:hanging="360"/>
      </w:pPr>
    </w:lvl>
    <w:lvl w:ilvl="6" w:tentative="1">
      <w:start w:val="1"/>
      <w:numFmt w:val="decimal"/>
      <w:lvlText w:val="%7."/>
      <w:lvlJc w:val="left"/>
      <w:pPr>
        <w:tabs>
          <w:tab w:val="num" w:pos="5640"/>
        </w:tabs>
        <w:ind w:left="5640" w:hanging="360"/>
      </w:pPr>
    </w:lvl>
    <w:lvl w:ilvl="7" w:tentative="1">
      <w:start w:val="1"/>
      <w:numFmt w:val="decimal"/>
      <w:lvlText w:val="%8."/>
      <w:lvlJc w:val="left"/>
      <w:pPr>
        <w:tabs>
          <w:tab w:val="num" w:pos="6360"/>
        </w:tabs>
        <w:ind w:left="6360" w:hanging="360"/>
      </w:pPr>
    </w:lvl>
    <w:lvl w:ilvl="8" w:tentative="1">
      <w:start w:val="1"/>
      <w:numFmt w:val="decimal"/>
      <w:lvlText w:val="%9."/>
      <w:lvlJc w:val="left"/>
      <w:pPr>
        <w:tabs>
          <w:tab w:val="num" w:pos="7080"/>
        </w:tabs>
        <w:ind w:left="7080" w:hanging="360"/>
      </w:pPr>
    </w:lvl>
  </w:abstractNum>
  <w:abstractNum w:abstractNumId="3" w15:restartNumberingAfterBreak="0">
    <w:nsid w:val="63A44D33"/>
    <w:multiLevelType w:val="hybridMultilevel"/>
    <w:tmpl w:val="BE404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DA3"/>
    <w:rsid w:val="000731F8"/>
    <w:rsid w:val="00194167"/>
    <w:rsid w:val="003408AE"/>
    <w:rsid w:val="005D0C87"/>
    <w:rsid w:val="00A21D29"/>
    <w:rsid w:val="00A85DA3"/>
    <w:rsid w:val="00C36A0A"/>
    <w:rsid w:val="00FF7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DAE3"/>
  <w15:chartTrackingRefBased/>
  <w15:docId w15:val="{544F1D48-49E3-4A63-9C42-9D0BA57E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31F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85DA3"/>
    <w:rPr>
      <w:i/>
      <w:iCs/>
    </w:rPr>
  </w:style>
  <w:style w:type="paragraph" w:styleId="NormalWeb">
    <w:name w:val="Normal (Web)"/>
    <w:basedOn w:val="Normal"/>
    <w:uiPriority w:val="99"/>
    <w:semiHidden/>
    <w:unhideWhenUsed/>
    <w:rsid w:val="00A85DA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7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7793">
      <w:bodyDiv w:val="1"/>
      <w:marLeft w:val="0"/>
      <w:marRight w:val="0"/>
      <w:marTop w:val="0"/>
      <w:marBottom w:val="0"/>
      <w:divBdr>
        <w:top w:val="none" w:sz="0" w:space="0" w:color="auto"/>
        <w:left w:val="none" w:sz="0" w:space="0" w:color="auto"/>
        <w:bottom w:val="none" w:sz="0" w:space="0" w:color="auto"/>
        <w:right w:val="none" w:sz="0" w:space="0" w:color="auto"/>
      </w:divBdr>
    </w:div>
    <w:div w:id="931546763">
      <w:bodyDiv w:val="1"/>
      <w:marLeft w:val="0"/>
      <w:marRight w:val="0"/>
      <w:marTop w:val="0"/>
      <w:marBottom w:val="0"/>
      <w:divBdr>
        <w:top w:val="none" w:sz="0" w:space="0" w:color="auto"/>
        <w:left w:val="none" w:sz="0" w:space="0" w:color="auto"/>
        <w:bottom w:val="none" w:sz="0" w:space="0" w:color="auto"/>
        <w:right w:val="none" w:sz="0" w:space="0" w:color="auto"/>
      </w:divBdr>
    </w:div>
    <w:div w:id="1123689668">
      <w:bodyDiv w:val="1"/>
      <w:marLeft w:val="0"/>
      <w:marRight w:val="0"/>
      <w:marTop w:val="0"/>
      <w:marBottom w:val="0"/>
      <w:divBdr>
        <w:top w:val="none" w:sz="0" w:space="0" w:color="auto"/>
        <w:left w:val="none" w:sz="0" w:space="0" w:color="auto"/>
        <w:bottom w:val="none" w:sz="0" w:space="0" w:color="auto"/>
        <w:right w:val="none" w:sz="0" w:space="0" w:color="auto"/>
      </w:divBdr>
    </w:div>
    <w:div w:id="141382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1604</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California Department of Education</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Contreras</dc:creator>
  <cp:keywords/>
  <dc:description/>
  <cp:lastModifiedBy>Jamie Contreras</cp:lastModifiedBy>
  <cp:revision>3</cp:revision>
  <dcterms:created xsi:type="dcterms:W3CDTF">2022-03-23T19:50:00Z</dcterms:created>
  <dcterms:modified xsi:type="dcterms:W3CDTF">2022-03-23T20:19:00Z</dcterms:modified>
</cp:coreProperties>
</file>