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E52" w:rsidRPr="00C36A0A" w:rsidRDefault="00C36A0A">
      <w:pPr>
        <w:rPr>
          <w:b/>
          <w:color w:val="BF8F00" w:themeColor="accent4" w:themeShade="BF"/>
          <w:sz w:val="24"/>
          <w:szCs w:val="24"/>
        </w:rPr>
      </w:pPr>
      <w:r w:rsidRPr="00C36A0A">
        <w:rPr>
          <w:b/>
          <w:color w:val="BF8F00" w:themeColor="accent4" w:themeShade="BF"/>
          <w:sz w:val="24"/>
          <w:szCs w:val="24"/>
        </w:rPr>
        <w:t xml:space="preserve">Key Definitions for I&amp;R </w:t>
      </w:r>
      <w:bookmarkStart w:id="0" w:name="_GoBack"/>
      <w:bookmarkEnd w:id="0"/>
    </w:p>
    <w:p w:rsidR="00A85DA3" w:rsidRPr="00C36A0A" w:rsidRDefault="00FF74DD">
      <w:pPr>
        <w:rPr>
          <w:rFonts w:ascii="Arial Narrow" w:hAnsi="Arial Narrow" w:cs="Arial"/>
          <w:color w:val="333333"/>
          <w:sz w:val="24"/>
          <w:szCs w:val="24"/>
          <w:shd w:val="clear" w:color="auto" w:fill="FFFFFF"/>
        </w:rPr>
      </w:pPr>
      <w:r w:rsidRPr="00C36A0A">
        <w:rPr>
          <w:rFonts w:ascii="Arial Narrow" w:hAnsi="Arial Narrow" w:cs="Arial"/>
          <w:b/>
          <w:color w:val="333333"/>
          <w:sz w:val="24"/>
          <w:szCs w:val="24"/>
          <w:shd w:val="clear" w:color="auto" w:fill="FFFFFF"/>
        </w:rPr>
        <w:t>Agriculture work.</w:t>
      </w:r>
      <w:r w:rsidRPr="00C36A0A">
        <w:rPr>
          <w:rFonts w:ascii="Arial Narrow" w:hAnsi="Arial Narrow" w:cs="Arial"/>
          <w:color w:val="333333"/>
          <w:sz w:val="24"/>
          <w:szCs w:val="24"/>
          <w:shd w:val="clear" w:color="auto" w:fill="FFFFFF"/>
        </w:rPr>
        <w:t xml:space="preserve"> </w:t>
      </w:r>
      <w:r w:rsidR="00A85DA3" w:rsidRPr="00C36A0A">
        <w:rPr>
          <w:rFonts w:ascii="Arial Narrow" w:hAnsi="Arial Narrow" w:cs="Arial"/>
          <w:color w:val="333333"/>
          <w:sz w:val="24"/>
          <w:szCs w:val="24"/>
          <w:shd w:val="clear" w:color="auto" w:fill="FFFFFF"/>
        </w:rPr>
        <w:t>“Agricultural work” means the production or initial processing of crops, dairy products, poultry, or livestock, as well as the cultivation or harvesting of trees. It consists of work performed for wages or personal subsistence. (Section 1309(2) of the ESEA, as amended; 34 CFR § 200.81(a); NRG, Ch. II, F1)</w:t>
      </w:r>
    </w:p>
    <w:p w:rsidR="00A85DA3" w:rsidRPr="00C36A0A" w:rsidRDefault="00FF74DD">
      <w:pPr>
        <w:rPr>
          <w:rFonts w:ascii="Arial Narrow" w:hAnsi="Arial Narrow" w:cs="Arial"/>
          <w:color w:val="333333"/>
          <w:sz w:val="24"/>
          <w:szCs w:val="24"/>
          <w:shd w:val="clear" w:color="auto" w:fill="FFFFFF"/>
        </w:rPr>
      </w:pPr>
      <w:r w:rsidRPr="00C36A0A">
        <w:rPr>
          <w:rFonts w:ascii="Arial Narrow" w:hAnsi="Arial Narrow" w:cs="Arial"/>
          <w:b/>
          <w:color w:val="333333"/>
          <w:sz w:val="24"/>
          <w:szCs w:val="24"/>
          <w:shd w:val="clear" w:color="auto" w:fill="FFFFFF"/>
        </w:rPr>
        <w:t>Certificate of Eligibility</w:t>
      </w:r>
      <w:r w:rsidR="005D0C87" w:rsidRPr="00C36A0A">
        <w:rPr>
          <w:rFonts w:ascii="Arial Narrow" w:hAnsi="Arial Narrow" w:cs="Arial"/>
          <w:b/>
          <w:color w:val="333333"/>
          <w:sz w:val="24"/>
          <w:szCs w:val="24"/>
          <w:shd w:val="clear" w:color="auto" w:fill="FFFFFF"/>
        </w:rPr>
        <w:t xml:space="preserve"> (COE)</w:t>
      </w:r>
      <w:r w:rsidRPr="00C36A0A">
        <w:rPr>
          <w:rFonts w:ascii="Arial Narrow" w:hAnsi="Arial Narrow" w:cs="Arial"/>
          <w:b/>
          <w:color w:val="333333"/>
          <w:sz w:val="24"/>
          <w:szCs w:val="24"/>
          <w:shd w:val="clear" w:color="auto" w:fill="FFFFFF"/>
        </w:rPr>
        <w:t>.</w:t>
      </w:r>
      <w:r w:rsidRPr="00C36A0A">
        <w:rPr>
          <w:rFonts w:ascii="Arial Narrow" w:hAnsi="Arial Narrow" w:cs="Arial"/>
          <w:color w:val="333333"/>
          <w:sz w:val="24"/>
          <w:szCs w:val="24"/>
          <w:shd w:val="clear" w:color="auto" w:fill="FFFFFF"/>
        </w:rPr>
        <w:t xml:space="preserve"> </w:t>
      </w:r>
      <w:r w:rsidR="00A85DA3" w:rsidRPr="00C36A0A">
        <w:rPr>
          <w:rFonts w:ascii="Arial Narrow" w:hAnsi="Arial Narrow" w:cs="Arial"/>
          <w:color w:val="333333"/>
          <w:sz w:val="24"/>
          <w:szCs w:val="24"/>
          <w:shd w:val="clear" w:color="auto" w:fill="FFFFFF"/>
        </w:rPr>
        <w:t>The “Certificate of Eligibility,” also known by its acronym “COE” or the “National COE,” is a form established by the Secretary of Education that consists of required data elements and required data sections necessary for documenting a child’s eligibility for the MEP. (34 CFR § 200.89(c); NRG, Ch. II, H2).</w:t>
      </w:r>
    </w:p>
    <w:p w:rsidR="00A85DA3" w:rsidRPr="00C36A0A" w:rsidRDefault="00FF74DD">
      <w:pPr>
        <w:rPr>
          <w:rFonts w:ascii="Arial Narrow" w:hAnsi="Arial Narrow" w:cs="Arial"/>
          <w:color w:val="333333"/>
          <w:sz w:val="24"/>
          <w:szCs w:val="24"/>
          <w:shd w:val="clear" w:color="auto" w:fill="FFFFFF"/>
        </w:rPr>
      </w:pPr>
      <w:r w:rsidRPr="00C36A0A">
        <w:rPr>
          <w:rFonts w:ascii="Arial Narrow" w:hAnsi="Arial Narrow" w:cs="Arial"/>
          <w:b/>
          <w:color w:val="333333"/>
          <w:sz w:val="24"/>
          <w:szCs w:val="24"/>
          <w:shd w:val="clear" w:color="auto" w:fill="FFFFFF"/>
        </w:rPr>
        <w:t>Crop.</w:t>
      </w:r>
      <w:r w:rsidRPr="00C36A0A">
        <w:rPr>
          <w:rFonts w:ascii="Arial Narrow" w:hAnsi="Arial Narrow" w:cs="Arial"/>
          <w:color w:val="333333"/>
          <w:sz w:val="24"/>
          <w:szCs w:val="24"/>
          <w:shd w:val="clear" w:color="auto" w:fill="FFFFFF"/>
        </w:rPr>
        <w:t xml:space="preserve"> </w:t>
      </w:r>
      <w:r w:rsidR="00A85DA3" w:rsidRPr="00C36A0A">
        <w:rPr>
          <w:rFonts w:ascii="Arial Narrow" w:hAnsi="Arial Narrow" w:cs="Arial"/>
          <w:color w:val="333333"/>
          <w:sz w:val="24"/>
          <w:szCs w:val="24"/>
          <w:shd w:val="clear" w:color="auto" w:fill="FFFFFF"/>
        </w:rPr>
        <w:t>A “crop” is a plant that is harvested for use by people or by livestock (NRG, Ch. II, F3).</w:t>
      </w:r>
    </w:p>
    <w:p w:rsidR="00A85DA3" w:rsidRPr="00C36A0A" w:rsidRDefault="00FF74DD">
      <w:pPr>
        <w:rPr>
          <w:rFonts w:ascii="Arial Narrow" w:hAnsi="Arial Narrow" w:cs="Arial"/>
          <w:color w:val="333333"/>
          <w:sz w:val="24"/>
          <w:szCs w:val="24"/>
          <w:shd w:val="clear" w:color="auto" w:fill="FFFFFF"/>
        </w:rPr>
      </w:pPr>
      <w:r w:rsidRPr="00C36A0A">
        <w:rPr>
          <w:rFonts w:ascii="Arial Narrow" w:hAnsi="Arial Narrow" w:cs="Arial"/>
          <w:b/>
          <w:color w:val="333333"/>
          <w:sz w:val="24"/>
          <w:szCs w:val="24"/>
          <w:shd w:val="clear" w:color="auto" w:fill="FFFFFF"/>
        </w:rPr>
        <w:t>Economic necessity.</w:t>
      </w:r>
      <w:r w:rsidRPr="00C36A0A">
        <w:rPr>
          <w:rFonts w:ascii="Arial Narrow" w:hAnsi="Arial Narrow" w:cs="Arial"/>
          <w:color w:val="333333"/>
          <w:sz w:val="24"/>
          <w:szCs w:val="24"/>
          <w:shd w:val="clear" w:color="auto" w:fill="FFFFFF"/>
        </w:rPr>
        <w:t xml:space="preserve"> </w:t>
      </w:r>
      <w:r w:rsidR="00A85DA3" w:rsidRPr="00C36A0A">
        <w:rPr>
          <w:rFonts w:ascii="Arial Narrow" w:hAnsi="Arial Narrow" w:cs="Arial"/>
          <w:color w:val="333333"/>
          <w:sz w:val="24"/>
          <w:szCs w:val="24"/>
          <w:shd w:val="clear" w:color="auto" w:fill="FFFFFF"/>
        </w:rPr>
        <w:t>ED considers “economic necessity” to mean that the child and the worker (if the child is not the worker) moved because they could not afford to stay in the current location. The MEP is premised on the understanding that migratory children have unique needs in view of their mobility, and generally are in low-income families. The statutory requirement that a qualifying move be made due to economic necessity clarifies that, under the ESEA, economic necessity is integral to a move that makes a child a “migratory” child (NRG, Ch. II, D3).</w:t>
      </w:r>
    </w:p>
    <w:p w:rsidR="00A85DA3" w:rsidRPr="00C36A0A" w:rsidRDefault="00FF74DD">
      <w:pPr>
        <w:rPr>
          <w:rFonts w:ascii="Arial Narrow" w:hAnsi="Arial Narrow" w:cs="Arial"/>
          <w:color w:val="333333"/>
          <w:sz w:val="24"/>
          <w:szCs w:val="24"/>
          <w:shd w:val="clear" w:color="auto" w:fill="FFFFFF"/>
        </w:rPr>
      </w:pPr>
      <w:r w:rsidRPr="00C36A0A">
        <w:rPr>
          <w:rFonts w:ascii="Arial Narrow" w:hAnsi="Arial Narrow" w:cs="Arial"/>
          <w:b/>
          <w:color w:val="333333"/>
          <w:sz w:val="24"/>
          <w:szCs w:val="24"/>
          <w:shd w:val="clear" w:color="auto" w:fill="FFFFFF"/>
        </w:rPr>
        <w:t>Fishing work.</w:t>
      </w:r>
      <w:r w:rsidRPr="00C36A0A">
        <w:rPr>
          <w:rFonts w:ascii="Arial Narrow" w:hAnsi="Arial Narrow" w:cs="Arial"/>
          <w:color w:val="333333"/>
          <w:sz w:val="24"/>
          <w:szCs w:val="24"/>
          <w:shd w:val="clear" w:color="auto" w:fill="FFFFFF"/>
        </w:rPr>
        <w:t xml:space="preserve"> </w:t>
      </w:r>
      <w:r w:rsidR="00A85DA3" w:rsidRPr="00C36A0A">
        <w:rPr>
          <w:rFonts w:ascii="Arial Narrow" w:hAnsi="Arial Narrow" w:cs="Arial"/>
          <w:color w:val="333333"/>
          <w:sz w:val="24"/>
          <w:szCs w:val="24"/>
          <w:shd w:val="clear" w:color="auto" w:fill="FFFFFF"/>
        </w:rPr>
        <w:t>“Fishing work” is the catching or initial processing of fish or shellfish, as well as the raising or harvesting of fish or shellfish at fish farms, that is performed for wages or personal subsistence (34 CFR § 200.81(c); NRG, Ch. II, F16).</w:t>
      </w:r>
    </w:p>
    <w:p w:rsidR="005D0C87" w:rsidRPr="00C36A0A" w:rsidRDefault="005D0C87" w:rsidP="005D0C87">
      <w:pPr>
        <w:rPr>
          <w:rFonts w:ascii="Arial Narrow" w:hAnsi="Arial Narrow"/>
          <w:sz w:val="24"/>
          <w:szCs w:val="24"/>
        </w:rPr>
      </w:pPr>
      <w:r w:rsidRPr="00C36A0A">
        <w:rPr>
          <w:rFonts w:ascii="Arial Narrow" w:hAnsi="Arial Narrow" w:cs="Arial"/>
          <w:b/>
          <w:color w:val="333333"/>
          <w:sz w:val="24"/>
          <w:szCs w:val="24"/>
          <w:shd w:val="clear" w:color="auto" w:fill="FFFFFF"/>
        </w:rPr>
        <w:t>Identification and Recruitment (I&amp;R).</w:t>
      </w:r>
      <w:r w:rsidRPr="00C36A0A">
        <w:rPr>
          <w:rFonts w:ascii="Arial Narrow" w:hAnsi="Arial Narrow" w:cs="Arial"/>
          <w:color w:val="333333"/>
          <w:sz w:val="24"/>
          <w:szCs w:val="24"/>
          <w:shd w:val="clear" w:color="auto" w:fill="FFFFFF"/>
        </w:rPr>
        <w:t xml:space="preserve"> “Identification” means determining the location and presence of migratory children. “Recruitment” means </w:t>
      </w:r>
      <w:proofErr w:type="gramStart"/>
      <w:r w:rsidRPr="00C36A0A">
        <w:rPr>
          <w:rFonts w:ascii="Arial Narrow" w:hAnsi="Arial Narrow" w:cs="Arial"/>
          <w:color w:val="333333"/>
          <w:sz w:val="24"/>
          <w:szCs w:val="24"/>
          <w:shd w:val="clear" w:color="auto" w:fill="FFFFFF"/>
        </w:rPr>
        <w:t>making contact with</w:t>
      </w:r>
      <w:proofErr w:type="gramEnd"/>
      <w:r w:rsidRPr="00C36A0A">
        <w:rPr>
          <w:rFonts w:ascii="Arial Narrow" w:hAnsi="Arial Narrow" w:cs="Arial"/>
          <w:color w:val="333333"/>
          <w:sz w:val="24"/>
          <w:szCs w:val="24"/>
          <w:shd w:val="clear" w:color="auto" w:fill="FFFFFF"/>
        </w:rPr>
        <w:t xml:space="preserve"> migratory families, explaining the MEP, securing the necessary information to make a determination that the child is eligible for the MEP, and recording the basis of the child’s eligibility on a COE or like form (</w:t>
      </w:r>
      <w:r w:rsidRPr="00C36A0A">
        <w:rPr>
          <w:rStyle w:val="Emphasis"/>
          <w:rFonts w:ascii="Arial Narrow" w:hAnsi="Arial Narrow" w:cs="Arial"/>
          <w:color w:val="333333"/>
          <w:sz w:val="24"/>
          <w:szCs w:val="24"/>
          <w:shd w:val="clear" w:color="auto" w:fill="FFFFFF"/>
        </w:rPr>
        <w:t>National ID&amp;R Manual</w:t>
      </w:r>
      <w:r w:rsidRPr="00C36A0A">
        <w:rPr>
          <w:rFonts w:ascii="Arial Narrow" w:hAnsi="Arial Narrow" w:cs="Arial"/>
          <w:color w:val="333333"/>
          <w:sz w:val="24"/>
          <w:szCs w:val="24"/>
          <w:shd w:val="clear" w:color="auto" w:fill="FFFFFF"/>
        </w:rPr>
        <w:t>, Chapter 1-6).</w:t>
      </w:r>
    </w:p>
    <w:p w:rsidR="00A85DA3" w:rsidRPr="00C36A0A" w:rsidRDefault="00FF74DD">
      <w:pPr>
        <w:rPr>
          <w:rFonts w:ascii="Arial Narrow" w:hAnsi="Arial Narrow" w:cs="Arial"/>
          <w:color w:val="333333"/>
          <w:sz w:val="24"/>
          <w:szCs w:val="24"/>
          <w:shd w:val="clear" w:color="auto" w:fill="FFFFFF"/>
        </w:rPr>
      </w:pPr>
      <w:r w:rsidRPr="00C36A0A">
        <w:rPr>
          <w:rFonts w:ascii="Arial Narrow" w:hAnsi="Arial Narrow" w:cs="Arial"/>
          <w:b/>
          <w:color w:val="333333"/>
          <w:sz w:val="24"/>
          <w:szCs w:val="24"/>
          <w:shd w:val="clear" w:color="auto" w:fill="FFFFFF"/>
        </w:rPr>
        <w:t>Join date.</w:t>
      </w:r>
      <w:r w:rsidRPr="00C36A0A">
        <w:rPr>
          <w:rFonts w:ascii="Arial Narrow" w:hAnsi="Arial Narrow" w:cs="Arial"/>
          <w:color w:val="333333"/>
          <w:sz w:val="24"/>
          <w:szCs w:val="24"/>
          <w:shd w:val="clear" w:color="auto" w:fill="FFFFFF"/>
        </w:rPr>
        <w:t xml:space="preserve"> </w:t>
      </w:r>
      <w:r w:rsidR="00A85DA3" w:rsidRPr="00C36A0A">
        <w:rPr>
          <w:rFonts w:ascii="Arial Narrow" w:hAnsi="Arial Narrow" w:cs="Arial"/>
          <w:color w:val="333333"/>
          <w:sz w:val="24"/>
          <w:szCs w:val="24"/>
          <w:shd w:val="clear" w:color="auto" w:fill="FFFFFF"/>
        </w:rPr>
        <w:t>“Join date,” also referred to as “to join” date, refers to situations where the child and parent do not move together. The “to join” date is the day that the child and worker complete the move to be together. If the child’s move precedes the worker’s move, the Qualifying Arrival Date (QAD) is the date that the worker arrived. If the child’s move followed the worker’s move, the QAD is the date the child arrived (NRG, Ch. II, E3).</w:t>
      </w:r>
    </w:p>
    <w:p w:rsidR="00A85DA3" w:rsidRPr="00C36A0A" w:rsidRDefault="00FF74DD">
      <w:pPr>
        <w:rPr>
          <w:rFonts w:ascii="Arial Narrow" w:hAnsi="Arial Narrow" w:cs="Arial"/>
          <w:color w:val="333333"/>
          <w:sz w:val="24"/>
          <w:szCs w:val="24"/>
          <w:shd w:val="clear" w:color="auto" w:fill="FFFFFF"/>
        </w:rPr>
      </w:pPr>
      <w:r w:rsidRPr="00C36A0A">
        <w:rPr>
          <w:rFonts w:ascii="Arial Narrow" w:hAnsi="Arial Narrow" w:cs="Arial"/>
          <w:b/>
          <w:color w:val="333333"/>
          <w:sz w:val="24"/>
          <w:szCs w:val="24"/>
          <w:shd w:val="clear" w:color="auto" w:fill="FFFFFF"/>
        </w:rPr>
        <w:t>Livestock.</w:t>
      </w:r>
      <w:r w:rsidRPr="00C36A0A">
        <w:rPr>
          <w:rFonts w:ascii="Arial Narrow" w:hAnsi="Arial Narrow" w:cs="Arial"/>
          <w:color w:val="333333"/>
          <w:sz w:val="24"/>
          <w:szCs w:val="24"/>
          <w:shd w:val="clear" w:color="auto" w:fill="FFFFFF"/>
        </w:rPr>
        <w:t xml:space="preserve"> </w:t>
      </w:r>
      <w:r w:rsidR="00A85DA3" w:rsidRPr="00C36A0A">
        <w:rPr>
          <w:rFonts w:ascii="Arial Narrow" w:hAnsi="Arial Narrow" w:cs="Arial"/>
          <w:color w:val="333333"/>
          <w:sz w:val="24"/>
          <w:szCs w:val="24"/>
          <w:shd w:val="clear" w:color="auto" w:fill="FFFFFF"/>
        </w:rPr>
        <w:t>The term “livestock” refers to any animal produced or kept primarily for breeding or slaughter purposes, including, but not limited to, beef cattle, hogs, sheep, goats, and horses. For purposes of the MEP, livestock does not include animals that are raised for sport, recreation, research, or pets. ED does not consider the term “livestock” to include animals hunted or captured in the wild (NRG, Ch. II, F6).</w:t>
      </w:r>
    </w:p>
    <w:p w:rsidR="00A85DA3" w:rsidRPr="00C36A0A" w:rsidRDefault="00FF74DD">
      <w:pPr>
        <w:rPr>
          <w:rFonts w:ascii="Arial Narrow" w:hAnsi="Arial Narrow" w:cs="Arial"/>
          <w:color w:val="333333"/>
          <w:sz w:val="24"/>
          <w:szCs w:val="24"/>
          <w:shd w:val="clear" w:color="auto" w:fill="FFFFFF"/>
        </w:rPr>
      </w:pPr>
      <w:r w:rsidRPr="00C36A0A">
        <w:rPr>
          <w:rFonts w:ascii="Arial Narrow" w:hAnsi="Arial Narrow" w:cs="Arial"/>
          <w:b/>
          <w:color w:val="333333"/>
          <w:sz w:val="24"/>
          <w:szCs w:val="24"/>
          <w:shd w:val="clear" w:color="auto" w:fill="FFFFFF"/>
        </w:rPr>
        <w:t>Migratory agricultural worker.</w:t>
      </w:r>
      <w:r w:rsidRPr="00C36A0A">
        <w:rPr>
          <w:rFonts w:ascii="Arial Narrow" w:hAnsi="Arial Narrow" w:cs="Arial"/>
          <w:color w:val="333333"/>
          <w:sz w:val="24"/>
          <w:szCs w:val="24"/>
          <w:shd w:val="clear" w:color="auto" w:fill="FFFFFF"/>
        </w:rPr>
        <w:t xml:space="preserve"> </w:t>
      </w:r>
      <w:r w:rsidR="00A85DA3" w:rsidRPr="00C36A0A">
        <w:rPr>
          <w:rFonts w:ascii="Arial Narrow" w:hAnsi="Arial Narrow" w:cs="Arial"/>
          <w:color w:val="333333"/>
          <w:sz w:val="24"/>
          <w:szCs w:val="24"/>
          <w:shd w:val="clear" w:color="auto" w:fill="FFFFFF"/>
        </w:rPr>
        <w:t>The term “migratory agricultural worker” means an individual who made a qualifying move in the preceding 36 months and, after doing so, engaged in new temporary or seasonal employment or personal subsistence in agriculture, which may be dairy work or the initial processing of raw agricultural products. If an individual did not engage in such new employment soon after a qualifying move, such individual may be considered a migratory agricultural worker if the individual actively sought such new employment and has a recent history of moves for temporary or seasonal agricultural employment (Section 1309 (2) of the ESEA, as amended).</w:t>
      </w:r>
    </w:p>
    <w:p w:rsidR="00A85DA3" w:rsidRPr="00A85DA3" w:rsidRDefault="00FF74DD" w:rsidP="00A85DA3">
      <w:pPr>
        <w:shd w:val="clear" w:color="auto" w:fill="FFFFFF"/>
        <w:spacing w:after="300" w:line="240" w:lineRule="auto"/>
        <w:rPr>
          <w:rFonts w:ascii="Arial Narrow" w:eastAsia="Times New Roman" w:hAnsi="Arial Narrow" w:cs="Arial"/>
          <w:color w:val="333333"/>
          <w:sz w:val="24"/>
          <w:szCs w:val="24"/>
        </w:rPr>
      </w:pPr>
      <w:r w:rsidRPr="00C36A0A">
        <w:rPr>
          <w:rFonts w:ascii="Arial Narrow" w:eastAsia="Times New Roman" w:hAnsi="Arial Narrow" w:cs="Arial"/>
          <w:b/>
          <w:color w:val="333333"/>
          <w:sz w:val="24"/>
          <w:szCs w:val="24"/>
        </w:rPr>
        <w:lastRenderedPageBreak/>
        <w:t>Migratory child.</w:t>
      </w:r>
      <w:r w:rsidRPr="00C36A0A">
        <w:rPr>
          <w:rFonts w:ascii="Arial Narrow" w:eastAsia="Times New Roman" w:hAnsi="Arial Narrow" w:cs="Arial"/>
          <w:color w:val="333333"/>
          <w:sz w:val="24"/>
          <w:szCs w:val="24"/>
        </w:rPr>
        <w:t xml:space="preserve"> </w:t>
      </w:r>
      <w:r w:rsidR="00A85DA3" w:rsidRPr="00A85DA3">
        <w:rPr>
          <w:rFonts w:ascii="Arial Narrow" w:eastAsia="Times New Roman" w:hAnsi="Arial Narrow" w:cs="Arial"/>
          <w:color w:val="333333"/>
          <w:sz w:val="24"/>
          <w:szCs w:val="24"/>
        </w:rPr>
        <w:t>According to sections 1115(c)(1)(A) (incorporated into the MEP by sections 1304(c)(2), 1115(b), and 1309(3) of the ESEA, and 34 C.F.R. § 200.103(a) of ED’s Title I regulations) a child is a "migratory child" and is eligible for MEP services if all of the following conditions are met:</w:t>
      </w:r>
    </w:p>
    <w:p w:rsidR="00A85DA3" w:rsidRPr="00C36A0A" w:rsidRDefault="00A85DA3" w:rsidP="00FF74DD">
      <w:pPr>
        <w:pStyle w:val="ListParagraph"/>
        <w:numPr>
          <w:ilvl w:val="0"/>
          <w:numId w:val="2"/>
        </w:numPr>
        <w:shd w:val="clear" w:color="auto" w:fill="FFFFFF"/>
        <w:spacing w:after="0" w:line="240" w:lineRule="auto"/>
        <w:rPr>
          <w:rFonts w:ascii="Arial Narrow" w:eastAsia="Times New Roman" w:hAnsi="Arial Narrow" w:cs="Arial"/>
          <w:color w:val="333333"/>
          <w:sz w:val="24"/>
          <w:szCs w:val="24"/>
        </w:rPr>
      </w:pPr>
      <w:r w:rsidRPr="00C36A0A">
        <w:rPr>
          <w:rFonts w:ascii="Arial Narrow" w:eastAsia="Times New Roman" w:hAnsi="Arial Narrow" w:cs="Arial"/>
          <w:color w:val="333333"/>
          <w:sz w:val="24"/>
          <w:szCs w:val="24"/>
        </w:rPr>
        <w:t>The child is not older than 21 years of age; </w:t>
      </w:r>
      <w:r w:rsidRPr="00C36A0A">
        <w:rPr>
          <w:rFonts w:ascii="Arial Narrow" w:eastAsia="Times New Roman" w:hAnsi="Arial Narrow" w:cs="Arial"/>
          <w:i/>
          <w:iCs/>
          <w:color w:val="333333"/>
          <w:sz w:val="24"/>
          <w:szCs w:val="24"/>
        </w:rPr>
        <w:t>and</w:t>
      </w:r>
    </w:p>
    <w:p w:rsidR="00A85DA3" w:rsidRPr="00C36A0A" w:rsidRDefault="00A85DA3" w:rsidP="003408AE">
      <w:pPr>
        <w:pStyle w:val="ListParagraph"/>
        <w:numPr>
          <w:ilvl w:val="0"/>
          <w:numId w:val="3"/>
        </w:numPr>
        <w:shd w:val="clear" w:color="auto" w:fill="FFFFFF"/>
        <w:spacing w:after="0" w:line="240" w:lineRule="auto"/>
        <w:ind w:left="1080"/>
        <w:rPr>
          <w:rFonts w:ascii="Arial Narrow" w:eastAsia="Times New Roman" w:hAnsi="Arial Narrow" w:cs="Arial"/>
          <w:color w:val="333333"/>
          <w:sz w:val="24"/>
          <w:szCs w:val="24"/>
        </w:rPr>
      </w:pPr>
      <w:r w:rsidRPr="00C36A0A">
        <w:rPr>
          <w:rFonts w:ascii="Arial Narrow" w:eastAsia="Times New Roman" w:hAnsi="Arial Narrow" w:cs="Arial"/>
          <w:color w:val="333333"/>
          <w:sz w:val="24"/>
          <w:szCs w:val="24"/>
        </w:rPr>
        <w:t>The child is entitled to a free public education (through grade 12) under state law, </w:t>
      </w:r>
      <w:r w:rsidRPr="00C36A0A">
        <w:rPr>
          <w:rFonts w:ascii="Arial Narrow" w:eastAsia="Times New Roman" w:hAnsi="Arial Narrow" w:cs="Arial"/>
          <w:i/>
          <w:iCs/>
          <w:color w:val="333333"/>
          <w:sz w:val="24"/>
          <w:szCs w:val="24"/>
        </w:rPr>
        <w:t>or</w:t>
      </w:r>
    </w:p>
    <w:p w:rsidR="00A85DA3" w:rsidRPr="00C36A0A" w:rsidRDefault="00A85DA3" w:rsidP="003408AE">
      <w:pPr>
        <w:pStyle w:val="ListParagraph"/>
        <w:numPr>
          <w:ilvl w:val="0"/>
          <w:numId w:val="3"/>
        </w:numPr>
        <w:shd w:val="clear" w:color="auto" w:fill="FFFFFF"/>
        <w:spacing w:after="0" w:line="240" w:lineRule="auto"/>
        <w:ind w:left="1080"/>
        <w:rPr>
          <w:rFonts w:ascii="Arial Narrow" w:eastAsia="Times New Roman" w:hAnsi="Arial Narrow" w:cs="Arial"/>
          <w:color w:val="333333"/>
          <w:sz w:val="24"/>
          <w:szCs w:val="24"/>
        </w:rPr>
      </w:pPr>
      <w:r w:rsidRPr="00C36A0A">
        <w:rPr>
          <w:rFonts w:ascii="Arial Narrow" w:eastAsia="Times New Roman" w:hAnsi="Arial Narrow" w:cs="Arial"/>
          <w:color w:val="333333"/>
          <w:sz w:val="24"/>
          <w:szCs w:val="24"/>
        </w:rPr>
        <w:t>The child is not yet at a grade level at which the LEA provides a free public education, </w:t>
      </w:r>
      <w:r w:rsidRPr="00C36A0A">
        <w:rPr>
          <w:rFonts w:ascii="Arial Narrow" w:eastAsia="Times New Roman" w:hAnsi="Arial Narrow" w:cs="Arial"/>
          <w:i/>
          <w:iCs/>
          <w:color w:val="333333"/>
          <w:sz w:val="24"/>
          <w:szCs w:val="24"/>
        </w:rPr>
        <w:t>and</w:t>
      </w:r>
    </w:p>
    <w:p w:rsidR="00A85DA3" w:rsidRPr="00C36A0A" w:rsidRDefault="00A85DA3" w:rsidP="00FF74DD">
      <w:pPr>
        <w:pStyle w:val="ListParagraph"/>
        <w:numPr>
          <w:ilvl w:val="0"/>
          <w:numId w:val="2"/>
        </w:numPr>
        <w:shd w:val="clear" w:color="auto" w:fill="FFFFFF"/>
        <w:spacing w:after="0" w:line="240" w:lineRule="auto"/>
        <w:rPr>
          <w:rFonts w:ascii="Arial Narrow" w:eastAsia="Times New Roman" w:hAnsi="Arial Narrow" w:cs="Arial"/>
          <w:color w:val="333333"/>
          <w:sz w:val="24"/>
          <w:szCs w:val="24"/>
        </w:rPr>
      </w:pPr>
      <w:r w:rsidRPr="00C36A0A">
        <w:rPr>
          <w:rFonts w:ascii="Arial Narrow" w:eastAsia="Times New Roman" w:hAnsi="Arial Narrow" w:cs="Arial"/>
          <w:color w:val="333333"/>
          <w:sz w:val="24"/>
          <w:szCs w:val="24"/>
        </w:rPr>
        <w:t>The child made a qualifying move in the preceding 36 months as a migratory agricultural worker or a migratory fisher, or did so with, or to join a parent/guardian or spouse who is a migratory agricultural worker or a migratory fisher; </w:t>
      </w:r>
      <w:r w:rsidRPr="00C36A0A">
        <w:rPr>
          <w:rFonts w:ascii="Arial Narrow" w:eastAsia="Times New Roman" w:hAnsi="Arial Narrow" w:cs="Arial"/>
          <w:i/>
          <w:iCs/>
          <w:color w:val="333333"/>
          <w:sz w:val="24"/>
          <w:szCs w:val="24"/>
        </w:rPr>
        <w:t>and</w:t>
      </w:r>
    </w:p>
    <w:p w:rsidR="00A85DA3" w:rsidRPr="00C36A0A" w:rsidRDefault="00A85DA3" w:rsidP="00FF74DD">
      <w:pPr>
        <w:pStyle w:val="ListParagraph"/>
        <w:numPr>
          <w:ilvl w:val="0"/>
          <w:numId w:val="2"/>
        </w:numPr>
        <w:shd w:val="clear" w:color="auto" w:fill="FFFFFF"/>
        <w:spacing w:after="150" w:line="240" w:lineRule="auto"/>
        <w:rPr>
          <w:rFonts w:ascii="Arial Narrow" w:eastAsia="Times New Roman" w:hAnsi="Arial Narrow" w:cs="Arial"/>
          <w:color w:val="333333"/>
          <w:sz w:val="24"/>
          <w:szCs w:val="24"/>
        </w:rPr>
      </w:pPr>
      <w:r w:rsidRPr="00C36A0A">
        <w:rPr>
          <w:rFonts w:ascii="Arial Narrow" w:eastAsia="Times New Roman" w:hAnsi="Arial Narrow" w:cs="Arial"/>
          <w:color w:val="333333"/>
          <w:sz w:val="24"/>
          <w:szCs w:val="24"/>
        </w:rPr>
        <w:t>With regard to the qualifying move identified in paragraph 3, above, the child moved due to economic necessity from one residence to another residence, and</w:t>
      </w:r>
    </w:p>
    <w:p w:rsidR="00A85DA3" w:rsidRPr="00C36A0A" w:rsidRDefault="00A85DA3" w:rsidP="003408AE">
      <w:pPr>
        <w:pStyle w:val="ListParagraph"/>
        <w:numPr>
          <w:ilvl w:val="0"/>
          <w:numId w:val="4"/>
        </w:numPr>
        <w:shd w:val="clear" w:color="auto" w:fill="FFFFFF"/>
        <w:spacing w:after="0" w:line="240" w:lineRule="auto"/>
        <w:ind w:left="1080"/>
        <w:rPr>
          <w:rFonts w:ascii="Arial Narrow" w:eastAsia="Times New Roman" w:hAnsi="Arial Narrow" w:cs="Arial"/>
          <w:color w:val="333333"/>
          <w:sz w:val="24"/>
          <w:szCs w:val="24"/>
        </w:rPr>
      </w:pPr>
      <w:r w:rsidRPr="00C36A0A">
        <w:rPr>
          <w:rFonts w:ascii="Arial Narrow" w:eastAsia="Times New Roman" w:hAnsi="Arial Narrow" w:cs="Arial"/>
          <w:color w:val="333333"/>
          <w:sz w:val="24"/>
          <w:szCs w:val="24"/>
        </w:rPr>
        <w:t>From one school district to another; </w:t>
      </w:r>
      <w:r w:rsidRPr="00C36A0A">
        <w:rPr>
          <w:rFonts w:ascii="Arial Narrow" w:eastAsia="Times New Roman" w:hAnsi="Arial Narrow" w:cs="Arial"/>
          <w:i/>
          <w:iCs/>
          <w:color w:val="333333"/>
          <w:sz w:val="24"/>
          <w:szCs w:val="24"/>
        </w:rPr>
        <w:t>or</w:t>
      </w:r>
    </w:p>
    <w:p w:rsidR="00A85DA3" w:rsidRPr="00C36A0A" w:rsidRDefault="00A85DA3" w:rsidP="003408AE">
      <w:pPr>
        <w:pStyle w:val="ListParagraph"/>
        <w:numPr>
          <w:ilvl w:val="0"/>
          <w:numId w:val="4"/>
        </w:numPr>
        <w:shd w:val="clear" w:color="auto" w:fill="FFFFFF"/>
        <w:spacing w:after="0" w:line="240" w:lineRule="auto"/>
        <w:ind w:left="1080"/>
        <w:rPr>
          <w:rFonts w:ascii="Arial Narrow" w:eastAsia="Times New Roman" w:hAnsi="Arial Narrow" w:cs="Arial"/>
          <w:color w:val="333333"/>
          <w:sz w:val="24"/>
          <w:szCs w:val="24"/>
        </w:rPr>
      </w:pPr>
      <w:r w:rsidRPr="00C36A0A">
        <w:rPr>
          <w:rFonts w:ascii="Arial Narrow" w:eastAsia="Times New Roman" w:hAnsi="Arial Narrow" w:cs="Arial"/>
          <w:color w:val="333333"/>
          <w:sz w:val="24"/>
          <w:szCs w:val="24"/>
        </w:rPr>
        <w:t>In a state that is comprised of a single school district, has moved from one administrative area to another with such district; </w:t>
      </w:r>
      <w:r w:rsidRPr="00C36A0A">
        <w:rPr>
          <w:rFonts w:ascii="Arial Narrow" w:eastAsia="Times New Roman" w:hAnsi="Arial Narrow" w:cs="Arial"/>
          <w:i/>
          <w:iCs/>
          <w:color w:val="333333"/>
          <w:sz w:val="24"/>
          <w:szCs w:val="24"/>
        </w:rPr>
        <w:t>or</w:t>
      </w:r>
    </w:p>
    <w:p w:rsidR="00A85DA3" w:rsidRPr="00C36A0A" w:rsidRDefault="00A85DA3" w:rsidP="003408AE">
      <w:pPr>
        <w:pStyle w:val="ListParagraph"/>
        <w:numPr>
          <w:ilvl w:val="0"/>
          <w:numId w:val="4"/>
        </w:numPr>
        <w:shd w:val="clear" w:color="auto" w:fill="FFFFFF"/>
        <w:spacing w:after="150" w:line="240" w:lineRule="auto"/>
        <w:ind w:left="1080"/>
        <w:rPr>
          <w:rFonts w:ascii="Arial Narrow" w:eastAsia="Times New Roman" w:hAnsi="Arial Narrow" w:cs="Arial"/>
          <w:color w:val="333333"/>
          <w:sz w:val="24"/>
          <w:szCs w:val="24"/>
        </w:rPr>
      </w:pPr>
      <w:r w:rsidRPr="00C36A0A">
        <w:rPr>
          <w:rFonts w:ascii="Arial Narrow" w:eastAsia="Times New Roman" w:hAnsi="Arial Narrow" w:cs="Arial"/>
          <w:color w:val="333333"/>
          <w:sz w:val="24"/>
          <w:szCs w:val="24"/>
        </w:rPr>
        <w:t>Resides in a school district of more than 15,000 square miles and migrates a distance of 20 miles or more to a temporary residence. (NRG, Ch. II, A1)</w:t>
      </w:r>
    </w:p>
    <w:p w:rsidR="00A85DA3" w:rsidRPr="00C36A0A" w:rsidRDefault="005D0C87">
      <w:pPr>
        <w:rPr>
          <w:rFonts w:ascii="Arial Narrow" w:hAnsi="Arial Narrow" w:cs="Arial"/>
          <w:color w:val="333333"/>
          <w:sz w:val="24"/>
          <w:szCs w:val="24"/>
          <w:shd w:val="clear" w:color="auto" w:fill="FFFFFF"/>
        </w:rPr>
      </w:pPr>
      <w:r w:rsidRPr="00C36A0A">
        <w:rPr>
          <w:rFonts w:ascii="Arial Narrow" w:hAnsi="Arial Narrow" w:cs="Arial"/>
          <w:b/>
          <w:color w:val="333333"/>
          <w:sz w:val="24"/>
          <w:szCs w:val="24"/>
          <w:shd w:val="clear" w:color="auto" w:fill="FFFFFF"/>
        </w:rPr>
        <w:t>Move.</w:t>
      </w:r>
      <w:r w:rsidRPr="00C36A0A">
        <w:rPr>
          <w:rFonts w:ascii="Arial Narrow" w:hAnsi="Arial Narrow" w:cs="Arial"/>
          <w:color w:val="333333"/>
          <w:sz w:val="24"/>
          <w:szCs w:val="24"/>
          <w:shd w:val="clear" w:color="auto" w:fill="FFFFFF"/>
        </w:rPr>
        <w:t xml:space="preserve"> </w:t>
      </w:r>
      <w:r w:rsidR="00A85DA3" w:rsidRPr="00C36A0A">
        <w:rPr>
          <w:rFonts w:ascii="Arial Narrow" w:hAnsi="Arial Narrow" w:cs="Arial"/>
          <w:color w:val="333333"/>
          <w:sz w:val="24"/>
          <w:szCs w:val="24"/>
          <w:shd w:val="clear" w:color="auto" w:fill="FFFFFF"/>
        </w:rPr>
        <w:t>The terms “move” or “moved” mean a change from one residence to another residence that occurs due to economic necessity [34 CFR § 200.81(j)].</w:t>
      </w:r>
    </w:p>
    <w:p w:rsidR="00FF74DD" w:rsidRPr="00C36A0A" w:rsidRDefault="005D0C87">
      <w:pPr>
        <w:rPr>
          <w:rFonts w:ascii="Arial Narrow" w:hAnsi="Arial Narrow" w:cs="Arial"/>
          <w:color w:val="333333"/>
          <w:sz w:val="24"/>
          <w:szCs w:val="24"/>
          <w:shd w:val="clear" w:color="auto" w:fill="FFFFFF"/>
        </w:rPr>
      </w:pPr>
      <w:r w:rsidRPr="00C36A0A">
        <w:rPr>
          <w:rFonts w:ascii="Arial Narrow" w:hAnsi="Arial Narrow" w:cs="Arial"/>
          <w:b/>
          <w:color w:val="333333"/>
          <w:sz w:val="24"/>
          <w:szCs w:val="24"/>
          <w:shd w:val="clear" w:color="auto" w:fill="FFFFFF"/>
        </w:rPr>
        <w:t>Personal subsistence.</w:t>
      </w:r>
      <w:r w:rsidRPr="00C36A0A">
        <w:rPr>
          <w:rFonts w:ascii="Arial Narrow" w:hAnsi="Arial Narrow" w:cs="Arial"/>
          <w:color w:val="333333"/>
          <w:sz w:val="24"/>
          <w:szCs w:val="24"/>
          <w:shd w:val="clear" w:color="auto" w:fill="FFFFFF"/>
        </w:rPr>
        <w:t xml:space="preserve"> </w:t>
      </w:r>
      <w:r w:rsidR="00FF74DD" w:rsidRPr="00C36A0A">
        <w:rPr>
          <w:rFonts w:ascii="Arial Narrow" w:hAnsi="Arial Narrow" w:cs="Arial"/>
          <w:color w:val="333333"/>
          <w:sz w:val="24"/>
          <w:szCs w:val="24"/>
          <w:shd w:val="clear" w:color="auto" w:fill="FFFFFF"/>
        </w:rPr>
        <w:t>As used in the definitions of migratory agricultural worker and migratory fisher in sections 1309(2) and 1309(4) of the ESEA, as amended, and the definitions of agricultural work and fishing work, and as defined in 34 CFR § 200.81(m),“personal subsistence” means that the worker and the worker’s family, as a matter of economic necessity, consume, as a substantial portion of their food intake, the crops, dairy products, or livestock they produce or the fish they catch (NRG, Ch. II, F28).</w:t>
      </w:r>
    </w:p>
    <w:p w:rsidR="00FF74DD" w:rsidRPr="00C36A0A" w:rsidRDefault="005D0C87">
      <w:pPr>
        <w:rPr>
          <w:rFonts w:ascii="Arial Narrow" w:hAnsi="Arial Narrow" w:cs="Arial"/>
          <w:color w:val="333333"/>
          <w:sz w:val="24"/>
          <w:szCs w:val="24"/>
          <w:shd w:val="clear" w:color="auto" w:fill="FFFFFF"/>
        </w:rPr>
      </w:pPr>
      <w:r w:rsidRPr="00C36A0A">
        <w:rPr>
          <w:rFonts w:ascii="Arial Narrow" w:hAnsi="Arial Narrow" w:cs="Arial"/>
          <w:b/>
          <w:color w:val="333333"/>
          <w:sz w:val="24"/>
          <w:szCs w:val="24"/>
          <w:shd w:val="clear" w:color="auto" w:fill="FFFFFF"/>
        </w:rPr>
        <w:t>Qualifying arrival date (QAD).</w:t>
      </w:r>
      <w:r w:rsidRPr="00C36A0A">
        <w:rPr>
          <w:rFonts w:ascii="Arial Narrow" w:hAnsi="Arial Narrow" w:cs="Arial"/>
          <w:color w:val="333333"/>
          <w:sz w:val="24"/>
          <w:szCs w:val="24"/>
          <w:shd w:val="clear" w:color="auto" w:fill="FFFFFF"/>
        </w:rPr>
        <w:t xml:space="preserve"> </w:t>
      </w:r>
      <w:r w:rsidR="00FF74DD" w:rsidRPr="00C36A0A">
        <w:rPr>
          <w:rFonts w:ascii="Arial Narrow" w:hAnsi="Arial Narrow" w:cs="Arial"/>
          <w:color w:val="333333"/>
          <w:sz w:val="24"/>
          <w:szCs w:val="24"/>
          <w:shd w:val="clear" w:color="auto" w:fill="FFFFFF"/>
        </w:rPr>
        <w:t>A child’s eligibility for the MEP begins when the child completes a qualifying move. This is often referred to as the “qualifying arrival date” (QAD) for purposes of the COE. In situations where the child and parent do not move together, the “to join” date is the day that the child and worker complete the move to be together. If the child’s move precedes the worker’s move, the qualifying arrival date is the date that the worker arrived. If the child’s move followed the worker’s move, the QAD is the date the child arrived. The reason for this is that the child does not establish eligibility as a migratory child until he or she physically arrives in the receiving school district (NRG, Ch. II, E3).</w:t>
      </w:r>
    </w:p>
    <w:p w:rsidR="00FF74DD" w:rsidRPr="00C36A0A" w:rsidRDefault="005D0C87">
      <w:pPr>
        <w:rPr>
          <w:rFonts w:ascii="Arial Narrow" w:hAnsi="Arial Narrow" w:cs="Arial"/>
          <w:color w:val="333333"/>
          <w:sz w:val="24"/>
          <w:szCs w:val="24"/>
          <w:shd w:val="clear" w:color="auto" w:fill="FFFFFF"/>
        </w:rPr>
      </w:pPr>
      <w:r w:rsidRPr="00C36A0A">
        <w:rPr>
          <w:rFonts w:ascii="Arial Narrow" w:hAnsi="Arial Narrow" w:cs="Arial"/>
          <w:b/>
          <w:color w:val="333333"/>
          <w:sz w:val="24"/>
          <w:szCs w:val="24"/>
          <w:shd w:val="clear" w:color="auto" w:fill="FFFFFF"/>
        </w:rPr>
        <w:t>Qualifying move.</w:t>
      </w:r>
      <w:r w:rsidRPr="00C36A0A">
        <w:rPr>
          <w:rFonts w:ascii="Arial Narrow" w:hAnsi="Arial Narrow" w:cs="Arial"/>
          <w:color w:val="333333"/>
          <w:sz w:val="24"/>
          <w:szCs w:val="24"/>
          <w:shd w:val="clear" w:color="auto" w:fill="FFFFFF"/>
        </w:rPr>
        <w:t xml:space="preserve"> </w:t>
      </w:r>
      <w:r w:rsidR="00FF74DD" w:rsidRPr="00C36A0A">
        <w:rPr>
          <w:rFonts w:ascii="Arial Narrow" w:hAnsi="Arial Narrow" w:cs="Arial"/>
          <w:color w:val="333333"/>
          <w:sz w:val="24"/>
          <w:szCs w:val="24"/>
          <w:shd w:val="clear" w:color="auto" w:fill="FFFFFF"/>
        </w:rPr>
        <w:t>The term “qualifying move” means a move due to economic necessity (A) from one residence to another residence; and (B) from one school district to another school district, except (</w:t>
      </w:r>
      <w:proofErr w:type="spellStart"/>
      <w:r w:rsidR="00FF74DD" w:rsidRPr="00C36A0A">
        <w:rPr>
          <w:rFonts w:ascii="Arial Narrow" w:hAnsi="Arial Narrow" w:cs="Arial"/>
          <w:color w:val="333333"/>
          <w:sz w:val="24"/>
          <w:szCs w:val="24"/>
          <w:shd w:val="clear" w:color="auto" w:fill="FFFFFF"/>
        </w:rPr>
        <w:t>i</w:t>
      </w:r>
      <w:proofErr w:type="spellEnd"/>
      <w:r w:rsidR="00FF74DD" w:rsidRPr="00C36A0A">
        <w:rPr>
          <w:rFonts w:ascii="Arial Narrow" w:hAnsi="Arial Narrow" w:cs="Arial"/>
          <w:color w:val="333333"/>
          <w:sz w:val="24"/>
          <w:szCs w:val="24"/>
          <w:shd w:val="clear" w:color="auto" w:fill="FFFFFF"/>
        </w:rPr>
        <w:t>) in the case of a state that is comprised of a single school district, wherein a qualifying move is from one administrative area to another within such district; or (ii) in the case of a school district of more than 15,000 square miles, where a qualifying move is a distance of 20 miles or more (Section 1309(5) of the ESEA, as amended; NRG, Ch. II, D1).</w:t>
      </w:r>
    </w:p>
    <w:p w:rsidR="00FF74DD" w:rsidRPr="00C36A0A" w:rsidRDefault="005D0C87">
      <w:pPr>
        <w:rPr>
          <w:rFonts w:ascii="Arial Narrow" w:hAnsi="Arial Narrow" w:cs="Arial"/>
          <w:color w:val="333333"/>
          <w:sz w:val="24"/>
          <w:szCs w:val="24"/>
          <w:shd w:val="clear" w:color="auto" w:fill="FFFFFF"/>
        </w:rPr>
      </w:pPr>
      <w:r w:rsidRPr="00C36A0A">
        <w:rPr>
          <w:rFonts w:ascii="Arial Narrow" w:hAnsi="Arial Narrow" w:cs="Arial"/>
          <w:b/>
          <w:color w:val="333333"/>
          <w:sz w:val="24"/>
          <w:szCs w:val="24"/>
          <w:shd w:val="clear" w:color="auto" w:fill="FFFFFF"/>
        </w:rPr>
        <w:t>Qualifying work.</w:t>
      </w:r>
      <w:r w:rsidRPr="00C36A0A">
        <w:rPr>
          <w:rFonts w:ascii="Arial Narrow" w:hAnsi="Arial Narrow" w:cs="Arial"/>
          <w:color w:val="333333"/>
          <w:sz w:val="24"/>
          <w:szCs w:val="24"/>
          <w:shd w:val="clear" w:color="auto" w:fill="FFFFFF"/>
        </w:rPr>
        <w:t xml:space="preserve"> </w:t>
      </w:r>
      <w:r w:rsidR="00FF74DD" w:rsidRPr="00C36A0A">
        <w:rPr>
          <w:rFonts w:ascii="Arial Narrow" w:hAnsi="Arial Narrow" w:cs="Arial"/>
          <w:color w:val="333333"/>
          <w:sz w:val="24"/>
          <w:szCs w:val="24"/>
          <w:shd w:val="clear" w:color="auto" w:fill="FFFFFF"/>
        </w:rPr>
        <w:t>“Qualifying work” means temporary or seasonal employment or personal subsistence in agriculture work or fishing work (34 CFR § 200.81(n); NRG, Ch. II, C3).</w:t>
      </w:r>
    </w:p>
    <w:p w:rsidR="00FF74DD" w:rsidRPr="00FF74DD" w:rsidRDefault="005D0C87" w:rsidP="00FF74DD">
      <w:pPr>
        <w:shd w:val="clear" w:color="auto" w:fill="FFFFFF"/>
        <w:spacing w:after="300" w:line="240" w:lineRule="auto"/>
        <w:rPr>
          <w:rFonts w:ascii="Arial Narrow" w:eastAsia="Times New Roman" w:hAnsi="Arial Narrow" w:cs="Arial"/>
          <w:color w:val="333333"/>
          <w:sz w:val="24"/>
          <w:szCs w:val="24"/>
        </w:rPr>
      </w:pPr>
      <w:r w:rsidRPr="00C36A0A">
        <w:rPr>
          <w:rFonts w:ascii="Arial Narrow" w:eastAsia="Times New Roman" w:hAnsi="Arial Narrow" w:cs="Arial"/>
          <w:b/>
          <w:color w:val="333333"/>
          <w:sz w:val="24"/>
          <w:szCs w:val="24"/>
        </w:rPr>
        <w:lastRenderedPageBreak/>
        <w:t>Quality control.</w:t>
      </w:r>
      <w:r w:rsidRPr="00C36A0A">
        <w:rPr>
          <w:rFonts w:ascii="Arial Narrow" w:eastAsia="Times New Roman" w:hAnsi="Arial Narrow" w:cs="Arial"/>
          <w:color w:val="333333"/>
          <w:sz w:val="24"/>
          <w:szCs w:val="24"/>
        </w:rPr>
        <w:t xml:space="preserve"> </w:t>
      </w:r>
      <w:proofErr w:type="gramStart"/>
      <w:r w:rsidR="00FF74DD" w:rsidRPr="00FF74DD">
        <w:rPr>
          <w:rFonts w:ascii="Arial Narrow" w:eastAsia="Times New Roman" w:hAnsi="Arial Narrow" w:cs="Arial"/>
          <w:color w:val="333333"/>
          <w:sz w:val="24"/>
          <w:szCs w:val="24"/>
        </w:rPr>
        <w:t>An</w:t>
      </w:r>
      <w:proofErr w:type="gramEnd"/>
      <w:r w:rsidR="00FF74DD" w:rsidRPr="00FF74DD">
        <w:rPr>
          <w:rFonts w:ascii="Arial Narrow" w:eastAsia="Times New Roman" w:hAnsi="Arial Narrow" w:cs="Arial"/>
          <w:color w:val="333333"/>
          <w:sz w:val="24"/>
          <w:szCs w:val="24"/>
        </w:rPr>
        <w:t xml:space="preserve"> SEA must establish and implement a system of quality controls for the proper identification and recruitment of eligible migratory children on a statewide basis. At a minimum, this system of quality controls must include the following components:</w:t>
      </w:r>
    </w:p>
    <w:p w:rsidR="00FF74DD" w:rsidRPr="00FF74DD" w:rsidRDefault="00FF74DD" w:rsidP="005D0C87">
      <w:pPr>
        <w:shd w:val="clear" w:color="auto" w:fill="FFFFFF"/>
        <w:spacing w:after="300" w:line="240" w:lineRule="auto"/>
        <w:ind w:left="720"/>
        <w:rPr>
          <w:rFonts w:ascii="Arial Narrow" w:eastAsia="Times New Roman" w:hAnsi="Arial Narrow" w:cs="Arial"/>
          <w:color w:val="333333"/>
          <w:sz w:val="24"/>
          <w:szCs w:val="24"/>
        </w:rPr>
      </w:pPr>
      <w:r w:rsidRPr="00FF74DD">
        <w:rPr>
          <w:rFonts w:ascii="Arial Narrow" w:eastAsia="Times New Roman" w:hAnsi="Arial Narrow" w:cs="Arial"/>
          <w:color w:val="333333"/>
          <w:sz w:val="24"/>
          <w:szCs w:val="24"/>
        </w:rPr>
        <w:t>(1) training to ensure that recruiters and all other staff involved in determining eligibility and in conducting quality control procedures know the requirements for accurately determining and documenting child eligibility under the MEP</w:t>
      </w:r>
    </w:p>
    <w:p w:rsidR="00FF74DD" w:rsidRPr="00FF74DD" w:rsidRDefault="00FF74DD" w:rsidP="005D0C87">
      <w:pPr>
        <w:shd w:val="clear" w:color="auto" w:fill="FFFFFF"/>
        <w:spacing w:after="300" w:line="240" w:lineRule="auto"/>
        <w:ind w:left="720"/>
        <w:rPr>
          <w:rFonts w:ascii="Arial Narrow" w:eastAsia="Times New Roman" w:hAnsi="Arial Narrow" w:cs="Arial"/>
          <w:color w:val="333333"/>
          <w:sz w:val="24"/>
          <w:szCs w:val="24"/>
        </w:rPr>
      </w:pPr>
      <w:r w:rsidRPr="00FF74DD">
        <w:rPr>
          <w:rFonts w:ascii="Arial Narrow" w:eastAsia="Times New Roman" w:hAnsi="Arial Narrow" w:cs="Arial"/>
          <w:color w:val="333333"/>
          <w:sz w:val="24"/>
          <w:szCs w:val="24"/>
        </w:rPr>
        <w:t>(2) supervision and annual review and evaluation of the identification and recruitment practices of individual recruiters</w:t>
      </w:r>
    </w:p>
    <w:p w:rsidR="00FF74DD" w:rsidRPr="00FF74DD" w:rsidRDefault="00FF74DD" w:rsidP="005D0C87">
      <w:pPr>
        <w:shd w:val="clear" w:color="auto" w:fill="FFFFFF"/>
        <w:spacing w:after="300" w:line="240" w:lineRule="auto"/>
        <w:ind w:left="720"/>
        <w:rPr>
          <w:rFonts w:ascii="Arial Narrow" w:eastAsia="Times New Roman" w:hAnsi="Arial Narrow" w:cs="Arial"/>
          <w:color w:val="333333"/>
          <w:sz w:val="24"/>
          <w:szCs w:val="24"/>
        </w:rPr>
      </w:pPr>
      <w:r w:rsidRPr="00FF74DD">
        <w:rPr>
          <w:rFonts w:ascii="Arial Narrow" w:eastAsia="Times New Roman" w:hAnsi="Arial Narrow" w:cs="Arial"/>
          <w:color w:val="333333"/>
          <w:sz w:val="24"/>
          <w:szCs w:val="24"/>
        </w:rPr>
        <w:t>(3) a formal process for resolving eligibility questions raised by recruiters and their supervisors and for ensuring that this information is communicated to all LOAs</w:t>
      </w:r>
    </w:p>
    <w:p w:rsidR="00FF74DD" w:rsidRPr="00FF74DD" w:rsidRDefault="00FF74DD" w:rsidP="005D0C87">
      <w:pPr>
        <w:shd w:val="clear" w:color="auto" w:fill="FFFFFF"/>
        <w:spacing w:after="300" w:line="240" w:lineRule="auto"/>
        <w:ind w:left="720"/>
        <w:rPr>
          <w:rFonts w:ascii="Arial Narrow" w:eastAsia="Times New Roman" w:hAnsi="Arial Narrow" w:cs="Arial"/>
          <w:color w:val="333333"/>
          <w:sz w:val="24"/>
          <w:szCs w:val="24"/>
        </w:rPr>
      </w:pPr>
      <w:r w:rsidRPr="00FF74DD">
        <w:rPr>
          <w:rFonts w:ascii="Arial Narrow" w:eastAsia="Times New Roman" w:hAnsi="Arial Narrow" w:cs="Arial"/>
          <w:color w:val="333333"/>
          <w:sz w:val="24"/>
          <w:szCs w:val="24"/>
        </w:rPr>
        <w:t>(4) an examination by qualified individuals at the SEA or LOA level of each COE to verify that the written documentation is sufficient and that, based on the recorded data, the child is eligible for MEP services</w:t>
      </w:r>
    </w:p>
    <w:p w:rsidR="00FF74DD" w:rsidRPr="00FF74DD" w:rsidRDefault="00FF74DD" w:rsidP="005D0C87">
      <w:pPr>
        <w:shd w:val="clear" w:color="auto" w:fill="FFFFFF"/>
        <w:spacing w:after="300" w:line="240" w:lineRule="auto"/>
        <w:ind w:left="720"/>
        <w:rPr>
          <w:rFonts w:ascii="Arial Narrow" w:eastAsia="Times New Roman" w:hAnsi="Arial Narrow" w:cs="Arial"/>
          <w:color w:val="333333"/>
          <w:sz w:val="24"/>
          <w:szCs w:val="24"/>
        </w:rPr>
      </w:pPr>
      <w:r w:rsidRPr="00FF74DD">
        <w:rPr>
          <w:rFonts w:ascii="Arial Narrow" w:eastAsia="Times New Roman" w:hAnsi="Arial Narrow" w:cs="Arial"/>
          <w:color w:val="333333"/>
          <w:sz w:val="24"/>
          <w:szCs w:val="24"/>
        </w:rPr>
        <w:t>(5) a process for the SEA to validate that eligibility determinations were properly made, including conducting prospective re-interviewing as described in paragraph (b)(2)</w:t>
      </w:r>
    </w:p>
    <w:p w:rsidR="00FF74DD" w:rsidRPr="00FF74DD" w:rsidRDefault="00FF74DD" w:rsidP="005D0C87">
      <w:pPr>
        <w:shd w:val="clear" w:color="auto" w:fill="FFFFFF"/>
        <w:spacing w:after="300" w:line="240" w:lineRule="auto"/>
        <w:ind w:left="720"/>
        <w:rPr>
          <w:rFonts w:ascii="Arial Narrow" w:eastAsia="Times New Roman" w:hAnsi="Arial Narrow" w:cs="Arial"/>
          <w:color w:val="333333"/>
          <w:sz w:val="24"/>
          <w:szCs w:val="24"/>
        </w:rPr>
      </w:pPr>
      <w:r w:rsidRPr="00FF74DD">
        <w:rPr>
          <w:rFonts w:ascii="Arial Narrow" w:eastAsia="Times New Roman" w:hAnsi="Arial Narrow" w:cs="Arial"/>
          <w:color w:val="333333"/>
          <w:sz w:val="24"/>
          <w:szCs w:val="24"/>
        </w:rPr>
        <w:t>(6) documentation that supports the SEA's implementation of this quality-control system and of a record of actions taken to improve the system where periodic reviews and evaluations indicate a need to do so</w:t>
      </w:r>
    </w:p>
    <w:p w:rsidR="00FF74DD" w:rsidRPr="00FF74DD" w:rsidRDefault="00FF74DD" w:rsidP="005D0C87">
      <w:pPr>
        <w:shd w:val="clear" w:color="auto" w:fill="FFFFFF"/>
        <w:spacing w:after="300" w:line="240" w:lineRule="auto"/>
        <w:ind w:left="720"/>
        <w:rPr>
          <w:rFonts w:ascii="Arial Narrow" w:eastAsia="Times New Roman" w:hAnsi="Arial Narrow" w:cs="Arial"/>
          <w:color w:val="333333"/>
          <w:sz w:val="24"/>
          <w:szCs w:val="24"/>
        </w:rPr>
      </w:pPr>
      <w:r w:rsidRPr="00FF74DD">
        <w:rPr>
          <w:rFonts w:ascii="Arial Narrow" w:eastAsia="Times New Roman" w:hAnsi="Arial Narrow" w:cs="Arial"/>
          <w:color w:val="333333"/>
          <w:sz w:val="24"/>
          <w:szCs w:val="24"/>
        </w:rPr>
        <w:t>(7) a process for implementing corrective action if the SEA finds COEs that do not sufficiently document a child's eligibility for the MEP, or in response to internal state audit findings and recommendations, or monitoring or audit findings of the Secretary. (34 CFR § 200.89(d))</w:t>
      </w:r>
    </w:p>
    <w:p w:rsidR="00FF74DD" w:rsidRPr="00C36A0A" w:rsidRDefault="005D0C87">
      <w:pPr>
        <w:rPr>
          <w:rFonts w:ascii="Arial Narrow" w:hAnsi="Arial Narrow" w:cs="Arial"/>
          <w:color w:val="333333"/>
          <w:sz w:val="24"/>
          <w:szCs w:val="24"/>
          <w:shd w:val="clear" w:color="auto" w:fill="FFFFFF"/>
        </w:rPr>
      </w:pPr>
      <w:r w:rsidRPr="00C36A0A">
        <w:rPr>
          <w:rFonts w:ascii="Arial Narrow" w:hAnsi="Arial Narrow" w:cs="Arial"/>
          <w:b/>
          <w:color w:val="333333"/>
          <w:sz w:val="24"/>
          <w:szCs w:val="24"/>
          <w:shd w:val="clear" w:color="auto" w:fill="FFFFFF"/>
        </w:rPr>
        <w:t>Re-interviewing.</w:t>
      </w:r>
      <w:r w:rsidRPr="00C36A0A">
        <w:rPr>
          <w:rFonts w:ascii="Arial Narrow" w:hAnsi="Arial Narrow" w:cs="Arial"/>
          <w:color w:val="333333"/>
          <w:sz w:val="24"/>
          <w:szCs w:val="24"/>
          <w:shd w:val="clear" w:color="auto" w:fill="FFFFFF"/>
        </w:rPr>
        <w:t xml:space="preserve"> </w:t>
      </w:r>
      <w:r w:rsidR="00FF74DD" w:rsidRPr="00C36A0A">
        <w:rPr>
          <w:rFonts w:ascii="Arial Narrow" w:hAnsi="Arial Narrow" w:cs="Arial"/>
          <w:color w:val="333333"/>
          <w:sz w:val="24"/>
          <w:szCs w:val="24"/>
          <w:shd w:val="clear" w:color="auto" w:fill="FFFFFF"/>
        </w:rPr>
        <w:t>“Re-interviewing” is the process of checking the eligibility determinations recorded on a State’s COEs. It involves independently interviewing families and checking each criterion that makes children eligible for the MEP. States can use prospective re-interviewing for quality control before submission of annual child counts. Or states can use retrospective re-interviewing, which establishes valid and reliable defect rates that measure the quality of a state's eligibility determinations for an entire child count year (i.e., eligibility determinations made over the course of a three-year period) (34 CFR § 200.89(a)(2); </w:t>
      </w:r>
      <w:r w:rsidR="00FF74DD" w:rsidRPr="00C36A0A">
        <w:rPr>
          <w:rStyle w:val="Emphasis"/>
          <w:rFonts w:ascii="Arial Narrow" w:hAnsi="Arial Narrow" w:cs="Arial"/>
          <w:color w:val="333333"/>
          <w:sz w:val="24"/>
          <w:szCs w:val="24"/>
          <w:shd w:val="clear" w:color="auto" w:fill="FFFFFF"/>
        </w:rPr>
        <w:t>Technical Assistance Guide on Re-interviewing</w:t>
      </w:r>
      <w:r w:rsidR="00FF74DD" w:rsidRPr="00C36A0A">
        <w:rPr>
          <w:rFonts w:ascii="Arial Narrow" w:hAnsi="Arial Narrow" w:cs="Arial"/>
          <w:color w:val="333333"/>
          <w:sz w:val="24"/>
          <w:szCs w:val="24"/>
          <w:shd w:val="clear" w:color="auto" w:fill="FFFFFF"/>
        </w:rPr>
        <w:t>).</w:t>
      </w:r>
    </w:p>
    <w:p w:rsidR="00FF74DD" w:rsidRPr="00FF74DD" w:rsidRDefault="005D0C87" w:rsidP="00FF74DD">
      <w:pPr>
        <w:shd w:val="clear" w:color="auto" w:fill="FFFFFF"/>
        <w:spacing w:after="300" w:line="240" w:lineRule="auto"/>
        <w:rPr>
          <w:rFonts w:ascii="Arial Narrow" w:eastAsia="Times New Roman" w:hAnsi="Arial Narrow" w:cs="Arial"/>
          <w:color w:val="333333"/>
          <w:sz w:val="24"/>
          <w:szCs w:val="24"/>
        </w:rPr>
      </w:pPr>
      <w:r w:rsidRPr="00C36A0A">
        <w:rPr>
          <w:rFonts w:ascii="Arial Narrow" w:eastAsia="Times New Roman" w:hAnsi="Arial Narrow" w:cs="Arial"/>
          <w:b/>
          <w:color w:val="333333"/>
          <w:sz w:val="24"/>
          <w:szCs w:val="24"/>
        </w:rPr>
        <w:t>Seasonal employment.</w:t>
      </w:r>
      <w:r w:rsidRPr="00C36A0A">
        <w:rPr>
          <w:rFonts w:ascii="Arial Narrow" w:eastAsia="Times New Roman" w:hAnsi="Arial Narrow" w:cs="Arial"/>
          <w:color w:val="333333"/>
          <w:sz w:val="24"/>
          <w:szCs w:val="24"/>
        </w:rPr>
        <w:t xml:space="preserve"> </w:t>
      </w:r>
      <w:r w:rsidR="00FF74DD" w:rsidRPr="00FF74DD">
        <w:rPr>
          <w:rFonts w:ascii="Arial Narrow" w:eastAsia="Times New Roman" w:hAnsi="Arial Narrow" w:cs="Arial"/>
          <w:color w:val="333333"/>
          <w:sz w:val="24"/>
          <w:szCs w:val="24"/>
        </w:rPr>
        <w:t>“Seasonal employment” means employment that occurs only during a certain period of the year because of the cycles of nature and that, by its nature, may not be continuous or carried on throughout the year (34 CFR § 200.81(o); NRG, Ch. II, G1).</w:t>
      </w:r>
    </w:p>
    <w:p w:rsidR="00FF74DD" w:rsidRPr="00C36A0A" w:rsidRDefault="005D0C87">
      <w:pPr>
        <w:rPr>
          <w:rFonts w:ascii="Arial Narrow" w:hAnsi="Arial Narrow" w:cs="Arial"/>
          <w:color w:val="333333"/>
          <w:sz w:val="24"/>
          <w:szCs w:val="24"/>
          <w:shd w:val="clear" w:color="auto" w:fill="FFFFFF"/>
        </w:rPr>
      </w:pPr>
      <w:r w:rsidRPr="00C36A0A">
        <w:rPr>
          <w:rFonts w:ascii="Arial Narrow" w:hAnsi="Arial Narrow" w:cs="Arial"/>
          <w:b/>
          <w:color w:val="333333"/>
          <w:sz w:val="24"/>
          <w:szCs w:val="24"/>
          <w:shd w:val="clear" w:color="auto" w:fill="FFFFFF"/>
        </w:rPr>
        <w:t>Soon after the move.</w:t>
      </w:r>
      <w:r w:rsidRPr="00C36A0A">
        <w:rPr>
          <w:rFonts w:ascii="Arial Narrow" w:hAnsi="Arial Narrow" w:cs="Arial"/>
          <w:color w:val="333333"/>
          <w:sz w:val="24"/>
          <w:szCs w:val="24"/>
          <w:shd w:val="clear" w:color="auto" w:fill="FFFFFF"/>
        </w:rPr>
        <w:t xml:space="preserve"> </w:t>
      </w:r>
      <w:r w:rsidR="00FF74DD" w:rsidRPr="00C36A0A">
        <w:rPr>
          <w:rFonts w:ascii="Arial Narrow" w:hAnsi="Arial Narrow" w:cs="Arial"/>
          <w:color w:val="333333"/>
          <w:sz w:val="24"/>
          <w:szCs w:val="24"/>
          <w:shd w:val="clear" w:color="auto" w:fill="FFFFFF"/>
        </w:rPr>
        <w:t xml:space="preserve">The ESEA, as amended by the ESSA, establishes that whether one may be considered a migratory agricultural worker or fisher depends whether the individual engaged in qualifying work soon after the move. For purposes of the MEP, ED recommends that “soon after the move” be within 60 days of the worker's move. A 60-day window allows for extenuating circumstances that would delay an </w:t>
      </w:r>
      <w:r w:rsidR="00FF74DD" w:rsidRPr="00C36A0A">
        <w:rPr>
          <w:rFonts w:ascii="Arial Narrow" w:hAnsi="Arial Narrow" w:cs="Arial"/>
          <w:color w:val="333333"/>
          <w:sz w:val="24"/>
          <w:szCs w:val="24"/>
          <w:shd w:val="clear" w:color="auto" w:fill="FFFFFF"/>
        </w:rPr>
        <w:lastRenderedPageBreak/>
        <w:t>individual's engagement in new qualifying work immediately after the move (e.g., local conditions in agricultural or fishing operations, illness, or other personal circumstances), while still providing a reasonable temporal connection between the move and the worker’s engagement in qualifying work (NRG, Ch. II, C5).</w:t>
      </w:r>
    </w:p>
    <w:p w:rsidR="00FF74DD" w:rsidRPr="00FF74DD" w:rsidRDefault="005D0C87" w:rsidP="00FF74DD">
      <w:pPr>
        <w:shd w:val="clear" w:color="auto" w:fill="FFFFFF"/>
        <w:spacing w:after="300" w:line="240" w:lineRule="auto"/>
        <w:rPr>
          <w:rFonts w:ascii="Arial Narrow" w:eastAsia="Times New Roman" w:hAnsi="Arial Narrow" w:cs="Arial"/>
          <w:color w:val="333333"/>
          <w:sz w:val="24"/>
          <w:szCs w:val="24"/>
        </w:rPr>
      </w:pPr>
      <w:r w:rsidRPr="00C36A0A">
        <w:rPr>
          <w:rFonts w:ascii="Arial Narrow" w:eastAsia="Times New Roman" w:hAnsi="Arial Narrow" w:cs="Arial"/>
          <w:b/>
          <w:color w:val="333333"/>
          <w:sz w:val="24"/>
          <w:szCs w:val="24"/>
        </w:rPr>
        <w:t>Temporary employment.</w:t>
      </w:r>
      <w:r w:rsidRPr="00C36A0A">
        <w:rPr>
          <w:rFonts w:ascii="Arial Narrow" w:eastAsia="Times New Roman" w:hAnsi="Arial Narrow" w:cs="Arial"/>
          <w:color w:val="333333"/>
          <w:sz w:val="24"/>
          <w:szCs w:val="24"/>
        </w:rPr>
        <w:t xml:space="preserve"> </w:t>
      </w:r>
      <w:r w:rsidR="00FF74DD" w:rsidRPr="00FF74DD">
        <w:rPr>
          <w:rFonts w:ascii="Arial Narrow" w:eastAsia="Times New Roman" w:hAnsi="Arial Narrow" w:cs="Arial"/>
          <w:color w:val="333333"/>
          <w:sz w:val="24"/>
          <w:szCs w:val="24"/>
        </w:rPr>
        <w:t>“Temporary employment” means employment that lasts for a limited period of time, usually a few months, but no longer than 12 months. It typically includes employment where the employer states that the worker was hired for a limited time frame; the worker states that the worker does not intend to remain in that employment indefinitely; or the SEA has determined on some other reasonable basis that the employment is temporary. (34 CFR § 200.81(p); NRG, Ch. II, G5-G6).</w:t>
      </w:r>
    </w:p>
    <w:p w:rsidR="00FF74DD" w:rsidRDefault="00FF74DD"/>
    <w:p w:rsidR="00FF74DD" w:rsidRDefault="00FF74DD"/>
    <w:sectPr w:rsidR="00FF7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1AB1"/>
    <w:multiLevelType w:val="hybridMultilevel"/>
    <w:tmpl w:val="EA36D8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87504"/>
    <w:multiLevelType w:val="hybridMultilevel"/>
    <w:tmpl w:val="A42A8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141F4"/>
    <w:multiLevelType w:val="multilevel"/>
    <w:tmpl w:val="D42085E0"/>
    <w:lvl w:ilvl="0">
      <w:start w:val="1"/>
      <w:numFmt w:val="decimal"/>
      <w:lvlText w:val="%1."/>
      <w:lvlJc w:val="left"/>
      <w:pPr>
        <w:tabs>
          <w:tab w:val="num" w:pos="1320"/>
        </w:tabs>
        <w:ind w:left="1320" w:hanging="360"/>
      </w:pPr>
    </w:lvl>
    <w:lvl w:ilvl="1">
      <w:start w:val="1"/>
      <w:numFmt w:val="lowerLetter"/>
      <w:lvlText w:val="%2."/>
      <w:lvlJc w:val="left"/>
      <w:pPr>
        <w:tabs>
          <w:tab w:val="num" w:pos="2040"/>
        </w:tabs>
        <w:ind w:left="2040" w:hanging="360"/>
      </w:pPr>
    </w:lvl>
    <w:lvl w:ilvl="2" w:tentative="1">
      <w:start w:val="1"/>
      <w:numFmt w:val="decimal"/>
      <w:lvlText w:val="%3."/>
      <w:lvlJc w:val="left"/>
      <w:pPr>
        <w:tabs>
          <w:tab w:val="num" w:pos="2760"/>
        </w:tabs>
        <w:ind w:left="2760" w:hanging="360"/>
      </w:pPr>
    </w:lvl>
    <w:lvl w:ilvl="3" w:tentative="1">
      <w:start w:val="1"/>
      <w:numFmt w:val="decimal"/>
      <w:lvlText w:val="%4."/>
      <w:lvlJc w:val="left"/>
      <w:pPr>
        <w:tabs>
          <w:tab w:val="num" w:pos="3480"/>
        </w:tabs>
        <w:ind w:left="3480" w:hanging="360"/>
      </w:pPr>
    </w:lvl>
    <w:lvl w:ilvl="4" w:tentative="1">
      <w:start w:val="1"/>
      <w:numFmt w:val="decimal"/>
      <w:lvlText w:val="%5."/>
      <w:lvlJc w:val="left"/>
      <w:pPr>
        <w:tabs>
          <w:tab w:val="num" w:pos="4200"/>
        </w:tabs>
        <w:ind w:left="4200" w:hanging="360"/>
      </w:pPr>
    </w:lvl>
    <w:lvl w:ilvl="5" w:tentative="1">
      <w:start w:val="1"/>
      <w:numFmt w:val="decimal"/>
      <w:lvlText w:val="%6."/>
      <w:lvlJc w:val="left"/>
      <w:pPr>
        <w:tabs>
          <w:tab w:val="num" w:pos="4920"/>
        </w:tabs>
        <w:ind w:left="4920" w:hanging="360"/>
      </w:pPr>
    </w:lvl>
    <w:lvl w:ilvl="6" w:tentative="1">
      <w:start w:val="1"/>
      <w:numFmt w:val="decimal"/>
      <w:lvlText w:val="%7."/>
      <w:lvlJc w:val="left"/>
      <w:pPr>
        <w:tabs>
          <w:tab w:val="num" w:pos="5640"/>
        </w:tabs>
        <w:ind w:left="5640" w:hanging="360"/>
      </w:pPr>
    </w:lvl>
    <w:lvl w:ilvl="7" w:tentative="1">
      <w:start w:val="1"/>
      <w:numFmt w:val="decimal"/>
      <w:lvlText w:val="%8."/>
      <w:lvlJc w:val="left"/>
      <w:pPr>
        <w:tabs>
          <w:tab w:val="num" w:pos="6360"/>
        </w:tabs>
        <w:ind w:left="6360" w:hanging="360"/>
      </w:pPr>
    </w:lvl>
    <w:lvl w:ilvl="8" w:tentative="1">
      <w:start w:val="1"/>
      <w:numFmt w:val="decimal"/>
      <w:lvlText w:val="%9."/>
      <w:lvlJc w:val="left"/>
      <w:pPr>
        <w:tabs>
          <w:tab w:val="num" w:pos="7080"/>
        </w:tabs>
        <w:ind w:left="7080" w:hanging="360"/>
      </w:pPr>
    </w:lvl>
  </w:abstractNum>
  <w:abstractNum w:abstractNumId="3" w15:restartNumberingAfterBreak="0">
    <w:nsid w:val="63A44D33"/>
    <w:multiLevelType w:val="hybridMultilevel"/>
    <w:tmpl w:val="BE404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DA3"/>
    <w:rsid w:val="000731F8"/>
    <w:rsid w:val="00194167"/>
    <w:rsid w:val="003408AE"/>
    <w:rsid w:val="005D0C87"/>
    <w:rsid w:val="00A21D29"/>
    <w:rsid w:val="00A85DA3"/>
    <w:rsid w:val="00C36A0A"/>
    <w:rsid w:val="00FF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DAE3"/>
  <w15:chartTrackingRefBased/>
  <w15:docId w15:val="{544F1D48-49E3-4A63-9C42-9D0BA57E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1F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85DA3"/>
    <w:rPr>
      <w:i/>
      <w:iCs/>
    </w:rPr>
  </w:style>
  <w:style w:type="paragraph" w:styleId="NormalWeb">
    <w:name w:val="Normal (Web)"/>
    <w:basedOn w:val="Normal"/>
    <w:uiPriority w:val="99"/>
    <w:semiHidden/>
    <w:unhideWhenUsed/>
    <w:rsid w:val="00A85DA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F7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57793">
      <w:bodyDiv w:val="1"/>
      <w:marLeft w:val="0"/>
      <w:marRight w:val="0"/>
      <w:marTop w:val="0"/>
      <w:marBottom w:val="0"/>
      <w:divBdr>
        <w:top w:val="none" w:sz="0" w:space="0" w:color="auto"/>
        <w:left w:val="none" w:sz="0" w:space="0" w:color="auto"/>
        <w:bottom w:val="none" w:sz="0" w:space="0" w:color="auto"/>
        <w:right w:val="none" w:sz="0" w:space="0" w:color="auto"/>
      </w:divBdr>
    </w:div>
    <w:div w:id="931546763">
      <w:bodyDiv w:val="1"/>
      <w:marLeft w:val="0"/>
      <w:marRight w:val="0"/>
      <w:marTop w:val="0"/>
      <w:marBottom w:val="0"/>
      <w:divBdr>
        <w:top w:val="none" w:sz="0" w:space="0" w:color="auto"/>
        <w:left w:val="none" w:sz="0" w:space="0" w:color="auto"/>
        <w:bottom w:val="none" w:sz="0" w:space="0" w:color="auto"/>
        <w:right w:val="none" w:sz="0" w:space="0" w:color="auto"/>
      </w:divBdr>
    </w:div>
    <w:div w:id="1123689668">
      <w:bodyDiv w:val="1"/>
      <w:marLeft w:val="0"/>
      <w:marRight w:val="0"/>
      <w:marTop w:val="0"/>
      <w:marBottom w:val="0"/>
      <w:divBdr>
        <w:top w:val="none" w:sz="0" w:space="0" w:color="auto"/>
        <w:left w:val="none" w:sz="0" w:space="0" w:color="auto"/>
        <w:bottom w:val="none" w:sz="0" w:space="0" w:color="auto"/>
        <w:right w:val="none" w:sz="0" w:space="0" w:color="auto"/>
      </w:divBdr>
    </w:div>
    <w:div w:id="141382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California Department of Education</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Contreras</dc:creator>
  <cp:keywords/>
  <dc:description/>
  <cp:lastModifiedBy>Jamie Contreras</cp:lastModifiedBy>
  <cp:revision>3</cp:revision>
  <dcterms:created xsi:type="dcterms:W3CDTF">2022-03-23T19:50:00Z</dcterms:created>
  <dcterms:modified xsi:type="dcterms:W3CDTF">2022-03-23T20:19:00Z</dcterms:modified>
</cp:coreProperties>
</file>