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F4AB" w14:textId="46CAA78D" w:rsidR="00B84DA1" w:rsidRDefault="006176B9" w:rsidP="002D7DB6">
      <w:pPr>
        <w:pStyle w:val="Title"/>
        <w:ind w:left="-450"/>
      </w:pPr>
      <w:r>
        <w:t>Administer Services</w:t>
      </w:r>
    </w:p>
    <w:p w14:paraId="487D16EB" w14:textId="690E5EE2" w:rsidR="00BF0F1C" w:rsidRDefault="00F86178" w:rsidP="002D7DB6">
      <w:pPr>
        <w:pStyle w:val="Heading1"/>
        <w:ind w:left="-450"/>
      </w:pPr>
      <w:r>
        <w:t>Introduction</w:t>
      </w:r>
    </w:p>
    <w:p w14:paraId="2EA93B95" w14:textId="03EC2DC0" w:rsidR="00510F43" w:rsidRDefault="0098731C" w:rsidP="0099010D">
      <w:pPr>
        <w:ind w:left="-450"/>
      </w:pPr>
      <w:bookmarkStart w:id="0" w:name="_Hlk138321250"/>
      <w:r>
        <w:t>T</w:t>
      </w:r>
      <w:r w:rsidR="00A803B5">
        <w:t xml:space="preserve">he </w:t>
      </w:r>
      <w:r w:rsidR="006176B9" w:rsidRPr="00510F43">
        <w:rPr>
          <w:rStyle w:val="Emphasis"/>
          <w:i w:val="0"/>
          <w:iCs w:val="0"/>
        </w:rPr>
        <w:t>Administer Services</w:t>
      </w:r>
      <w:r w:rsidR="006176B9">
        <w:t xml:space="preserve"> </w:t>
      </w:r>
      <w:r w:rsidR="00510F43">
        <w:t>page</w:t>
      </w:r>
      <w:r w:rsidR="00AA670E">
        <w:t xml:space="preserve"> (also know</w:t>
      </w:r>
      <w:r w:rsidR="00274F69">
        <w:t>n</w:t>
      </w:r>
      <w:r w:rsidR="00AA670E">
        <w:t xml:space="preserve"> as the service set-up screen)</w:t>
      </w:r>
      <w:r w:rsidR="006176B9">
        <w:t xml:space="preserve"> is found in the </w:t>
      </w:r>
      <w:r w:rsidR="006176B9" w:rsidRPr="00510F43">
        <w:rPr>
          <w:iCs/>
        </w:rPr>
        <w:t>System</w:t>
      </w:r>
      <w:r w:rsidR="006176B9">
        <w:t xml:space="preserve"> </w:t>
      </w:r>
      <w:r w:rsidR="00550ED0">
        <w:t xml:space="preserve">section of </w:t>
      </w:r>
      <w:r w:rsidR="00FB2253">
        <w:t xml:space="preserve">the </w:t>
      </w:r>
      <w:r w:rsidR="00550ED0">
        <w:t>MSIN</w:t>
      </w:r>
      <w:r w:rsidR="0000397C">
        <w:t xml:space="preserve"> Menu</w:t>
      </w:r>
      <w:r w:rsidR="00550ED0">
        <w:t xml:space="preserve">. </w:t>
      </w:r>
      <w:r w:rsidR="00FF18E1">
        <w:t xml:space="preserve">This page </w:t>
      </w:r>
      <w:r w:rsidR="00550ED0">
        <w:t xml:space="preserve">allows </w:t>
      </w:r>
      <w:r w:rsidR="006176B9">
        <w:t xml:space="preserve">users with the </w:t>
      </w:r>
      <w:r w:rsidR="00AA670E">
        <w:t>Regional Administrator</w:t>
      </w:r>
      <w:r w:rsidR="00AD426B">
        <w:t>, Program Manager,</w:t>
      </w:r>
      <w:r w:rsidR="00FA5AB2">
        <w:t xml:space="preserve"> </w:t>
      </w:r>
      <w:r w:rsidR="00CA7B43">
        <w:t xml:space="preserve">and/or </w:t>
      </w:r>
      <w:r w:rsidR="006176B9">
        <w:t>Data Specialist role</w:t>
      </w:r>
      <w:r w:rsidR="00FA5AB2">
        <w:t>(s)</w:t>
      </w:r>
      <w:r w:rsidR="006176B9">
        <w:t xml:space="preserve"> to </w:t>
      </w:r>
      <w:r w:rsidR="00FA5AB2">
        <w:t xml:space="preserve">search for services, </w:t>
      </w:r>
      <w:r w:rsidR="00864AC7">
        <w:t>adjust service setting</w:t>
      </w:r>
      <w:r w:rsidR="001D36C1">
        <w:t>s</w:t>
      </w:r>
      <w:r w:rsidR="00FA5AB2">
        <w:t>,</w:t>
      </w:r>
      <w:r w:rsidR="00864AC7">
        <w:t xml:space="preserve"> and </w:t>
      </w:r>
      <w:r w:rsidR="006176B9">
        <w:t>create new services</w:t>
      </w:r>
      <w:r w:rsidR="00864AC7">
        <w:t>, as needed</w:t>
      </w:r>
      <w:r w:rsidR="00550ED0">
        <w:t xml:space="preserve">. </w:t>
      </w:r>
      <w:r w:rsidR="0071390F">
        <w:t xml:space="preserve">In addition, </w:t>
      </w:r>
      <w:r w:rsidR="00CA7B43">
        <w:t xml:space="preserve">MSIN users with the </w:t>
      </w:r>
      <w:r w:rsidR="00FA5AB2">
        <w:t xml:space="preserve">I&amp;R Manager and/or </w:t>
      </w:r>
      <w:r w:rsidR="00CA7B43">
        <w:t>Student Services role</w:t>
      </w:r>
      <w:r w:rsidR="00FA5AB2">
        <w:t>(s)</w:t>
      </w:r>
      <w:r w:rsidR="00CA7B43">
        <w:t xml:space="preserve"> can search for and view </w:t>
      </w:r>
      <w:r w:rsidR="00FA5AB2">
        <w:t xml:space="preserve">existing </w:t>
      </w:r>
      <w:r w:rsidR="00CA7B43">
        <w:t>service</w:t>
      </w:r>
      <w:r w:rsidR="003E5D09">
        <w:t>s</w:t>
      </w:r>
      <w:r w:rsidR="00FA5AB2">
        <w:t>, but they cannot edit or create services</w:t>
      </w:r>
      <w:r w:rsidR="00CA7B43">
        <w:t xml:space="preserve">. </w:t>
      </w:r>
    </w:p>
    <w:p w14:paraId="58098807" w14:textId="010C1D8A" w:rsidR="00D21D4F" w:rsidRDefault="006176B9" w:rsidP="00E40088">
      <w:pPr>
        <w:spacing w:after="0"/>
        <w:ind w:left="-450"/>
      </w:pPr>
      <w:r w:rsidRPr="006176B9">
        <w:t>Th</w:t>
      </w:r>
      <w:r w:rsidR="0051649B">
        <w:t xml:space="preserve">is user </w:t>
      </w:r>
      <w:r w:rsidRPr="006176B9">
        <w:t xml:space="preserve">guide </w:t>
      </w:r>
      <w:r w:rsidR="00096D1D">
        <w:t>covers</w:t>
      </w:r>
      <w:r w:rsidR="00D44FCC">
        <w:t xml:space="preserve"> </w:t>
      </w:r>
      <w:r w:rsidR="001409C8">
        <w:t xml:space="preserve">basic </w:t>
      </w:r>
      <w:r w:rsidR="00D44FCC">
        <w:t xml:space="preserve">instructions </w:t>
      </w:r>
      <w:r w:rsidR="00D21D4F">
        <w:t>on:</w:t>
      </w:r>
    </w:p>
    <w:p w14:paraId="46BD0DBB" w14:textId="33D9709E" w:rsidR="00D21D4F" w:rsidRDefault="00D44FCC" w:rsidP="00D21D4F">
      <w:pPr>
        <w:pStyle w:val="ListParagraph"/>
        <w:numPr>
          <w:ilvl w:val="0"/>
          <w:numId w:val="20"/>
        </w:numPr>
        <w:spacing w:after="0"/>
      </w:pPr>
      <w:r>
        <w:t xml:space="preserve">searching </w:t>
      </w:r>
      <w:r w:rsidR="00D21D4F">
        <w:t xml:space="preserve">for </w:t>
      </w:r>
      <w:r w:rsidR="001409C8">
        <w:t xml:space="preserve">existing </w:t>
      </w:r>
      <w:r>
        <w:t>services,</w:t>
      </w:r>
    </w:p>
    <w:p w14:paraId="233AE317" w14:textId="1B63ADD1" w:rsidR="00D21D4F" w:rsidRDefault="00BE0C78" w:rsidP="00D21D4F">
      <w:pPr>
        <w:pStyle w:val="ListParagraph"/>
        <w:numPr>
          <w:ilvl w:val="0"/>
          <w:numId w:val="20"/>
        </w:numPr>
        <w:spacing w:after="0"/>
      </w:pPr>
      <w:r>
        <w:t>enabling</w:t>
      </w:r>
      <w:r w:rsidR="001409C8">
        <w:t>/d</w:t>
      </w:r>
      <w:r>
        <w:t>isabling</w:t>
      </w:r>
      <w:r w:rsidR="001409C8">
        <w:t xml:space="preserve"> services</w:t>
      </w:r>
      <w:r w:rsidR="00B42327">
        <w:t>,</w:t>
      </w:r>
      <w:r w:rsidR="001409C8">
        <w:t xml:space="preserve"> </w:t>
      </w:r>
    </w:p>
    <w:p w14:paraId="07C1C149" w14:textId="302F8BEF" w:rsidR="00E40088" w:rsidRDefault="001409C8" w:rsidP="00D21D4F">
      <w:pPr>
        <w:pStyle w:val="ListParagraph"/>
        <w:numPr>
          <w:ilvl w:val="0"/>
          <w:numId w:val="20"/>
        </w:numPr>
      </w:pPr>
      <w:r>
        <w:t>setting up new service</w:t>
      </w:r>
      <w:r w:rsidR="00864AC7">
        <w:t>s</w:t>
      </w:r>
      <w:bookmarkEnd w:id="0"/>
      <w:r w:rsidR="00B42327">
        <w:t>, and</w:t>
      </w:r>
    </w:p>
    <w:p w14:paraId="55BBD631" w14:textId="54EA575B" w:rsidR="00B42327" w:rsidRDefault="00B42327" w:rsidP="00D21D4F">
      <w:pPr>
        <w:pStyle w:val="ListParagraph"/>
        <w:numPr>
          <w:ilvl w:val="0"/>
          <w:numId w:val="20"/>
        </w:numPr>
      </w:pPr>
      <w:r>
        <w:t>common service set-up scenarios.</w:t>
      </w:r>
    </w:p>
    <w:p w14:paraId="03C38E5A" w14:textId="1BC8EBE4" w:rsidR="00E92A26" w:rsidRDefault="004B090D" w:rsidP="00E40088">
      <w:pPr>
        <w:pStyle w:val="Heading1"/>
        <w:spacing w:before="0"/>
        <w:ind w:left="-450"/>
      </w:pPr>
      <w:r>
        <w:t>Search</w:t>
      </w:r>
      <w:r w:rsidR="00315C91">
        <w:t>ing</w:t>
      </w:r>
      <w:r>
        <w:t xml:space="preserve"> for </w:t>
      </w:r>
      <w:r w:rsidR="006176B9">
        <w:t>Existing Services</w:t>
      </w:r>
    </w:p>
    <w:p w14:paraId="32DEDEF1" w14:textId="2E337C5D" w:rsidR="006E7AA3" w:rsidRDefault="00096D1D" w:rsidP="006E7AA3">
      <w:pPr>
        <w:spacing w:after="0"/>
        <w:ind w:left="-450"/>
      </w:pPr>
      <w:r>
        <w:t>In</w:t>
      </w:r>
      <w:r w:rsidR="007A3ABD">
        <w:t xml:space="preserve"> the MSIN Menu, n</w:t>
      </w:r>
      <w:r w:rsidR="00864AC7">
        <w:t xml:space="preserve">avigate to </w:t>
      </w:r>
      <w:r w:rsidR="00D44FCC">
        <w:t xml:space="preserve">the </w:t>
      </w:r>
      <w:r w:rsidR="00D44FCC" w:rsidRPr="0099010D">
        <w:rPr>
          <w:rStyle w:val="Emphasis"/>
          <w:i w:val="0"/>
          <w:iCs w:val="0"/>
        </w:rPr>
        <w:t>System</w:t>
      </w:r>
      <w:r w:rsidR="00D44FCC">
        <w:t xml:space="preserve"> section</w:t>
      </w:r>
      <w:r w:rsidR="00227D6C">
        <w:t xml:space="preserve">, </w:t>
      </w:r>
      <w:r w:rsidR="003E043A">
        <w:t>then</w:t>
      </w:r>
      <w:r w:rsidR="00227D6C">
        <w:t xml:space="preserve"> </w:t>
      </w:r>
      <w:r w:rsidR="00864AC7">
        <w:t xml:space="preserve">click </w:t>
      </w:r>
      <w:r w:rsidR="00864AC7" w:rsidRPr="0099010D">
        <w:rPr>
          <w:rStyle w:val="Emphasis"/>
          <w:i w:val="0"/>
          <w:iCs w:val="0"/>
        </w:rPr>
        <w:t>Administer Services</w:t>
      </w:r>
      <w:r w:rsidR="00864AC7">
        <w:t xml:space="preserve"> (#1 below)</w:t>
      </w:r>
      <w:r w:rsidR="00D44FCC">
        <w:t>.</w:t>
      </w:r>
      <w:r w:rsidR="00227D6C">
        <w:t xml:space="preserve"> </w:t>
      </w:r>
      <w:r w:rsidR="006E7AA3">
        <w:t xml:space="preserve">MSIN </w:t>
      </w:r>
      <w:r w:rsidR="00BD2FFB">
        <w:t xml:space="preserve">automatically </w:t>
      </w:r>
      <w:r w:rsidR="00533966">
        <w:t>select</w:t>
      </w:r>
      <w:r w:rsidR="00BD2FFB">
        <w:t>s</w:t>
      </w:r>
      <w:r w:rsidR="00533966">
        <w:t xml:space="preserve"> </w:t>
      </w:r>
      <w:r w:rsidR="00AA670E">
        <w:t xml:space="preserve">your </w:t>
      </w:r>
      <w:r w:rsidR="00533966">
        <w:t>region</w:t>
      </w:r>
      <w:r w:rsidR="00DD35EC">
        <w:t xml:space="preserve"> or district,</w:t>
      </w:r>
      <w:r w:rsidR="001409C8">
        <w:t xml:space="preserve"> and </w:t>
      </w:r>
      <w:r w:rsidR="003E043A">
        <w:t xml:space="preserve">it selects </w:t>
      </w:r>
      <w:r w:rsidR="006E7AA3">
        <w:t>“Active Services Only</w:t>
      </w:r>
      <w:r w:rsidR="00337CDF">
        <w:t>”</w:t>
      </w:r>
      <w:r w:rsidR="0099010D">
        <w:t xml:space="preserve"> by default.</w:t>
      </w:r>
      <w:r w:rsidR="00B16CD3">
        <w:t xml:space="preserve"> </w:t>
      </w:r>
    </w:p>
    <w:p w14:paraId="0A99FA81" w14:textId="77777777" w:rsidR="006E7AA3" w:rsidRDefault="006E7AA3" w:rsidP="006E7AA3">
      <w:pPr>
        <w:spacing w:after="0"/>
        <w:ind w:left="-450"/>
      </w:pPr>
    </w:p>
    <w:p w14:paraId="5D01BC0B" w14:textId="6C602704" w:rsidR="006E7AA3" w:rsidRDefault="004F33F5" w:rsidP="006E7AA3">
      <w:pPr>
        <w:spacing w:after="0"/>
        <w:ind w:left="-450"/>
      </w:pPr>
      <w:r>
        <w:rPr>
          <w:noProof/>
        </w:rPr>
        <w:drawing>
          <wp:inline distT="0" distB="0" distL="0" distR="0" wp14:anchorId="3E70EF2A" wp14:editId="7ADA632D">
            <wp:extent cx="6454311" cy="4230280"/>
            <wp:effectExtent l="0" t="0" r="3810" b="0"/>
            <wp:docPr id="161" name="Picture 161" descr="Screenshot of the Administer Services page, with results of an active service search for Region 4 (as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descr="Screenshot of the Administer Services page, with results of an active service search for Region 4 (as an examp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4311" cy="4230280"/>
                    </a:xfrm>
                    <a:prstGeom prst="rect">
                      <a:avLst/>
                    </a:prstGeom>
                    <a:ln w="3175">
                      <a:noFill/>
                    </a:ln>
                  </pic:spPr>
                </pic:pic>
              </a:graphicData>
            </a:graphic>
          </wp:inline>
        </w:drawing>
      </w:r>
    </w:p>
    <w:p w14:paraId="297936A6" w14:textId="48348A4E" w:rsidR="006E7AA3" w:rsidRDefault="006E7AA3" w:rsidP="006E7AA3">
      <w:pPr>
        <w:spacing w:after="0"/>
        <w:ind w:left="-450"/>
      </w:pPr>
    </w:p>
    <w:p w14:paraId="490E1C3E" w14:textId="29B186AA" w:rsidR="001D36C1" w:rsidRDefault="00B16CD3" w:rsidP="006E7AA3">
      <w:pPr>
        <w:spacing w:after="0"/>
        <w:ind w:left="-450"/>
      </w:pPr>
      <w:r>
        <w:t xml:space="preserve">Next, </w:t>
      </w:r>
      <w:r w:rsidR="001D36C1">
        <w:t xml:space="preserve">you can </w:t>
      </w:r>
      <w:r w:rsidR="003E043A">
        <w:t xml:space="preserve">change or add </w:t>
      </w:r>
      <w:r w:rsidR="00864AC7">
        <w:t>filter</w:t>
      </w:r>
      <w:r w:rsidR="004F7677">
        <w:t>s</w:t>
      </w:r>
      <w:r w:rsidR="00864AC7">
        <w:t xml:space="preserve"> using the available check</w:t>
      </w:r>
      <w:r w:rsidR="004F7677">
        <w:t>boxes</w:t>
      </w:r>
      <w:r w:rsidR="00864AC7">
        <w:t xml:space="preserve"> (#2 above)</w:t>
      </w:r>
      <w:r w:rsidR="001D36C1">
        <w:t>. The third checkbox, “Services with MPOs Only</w:t>
      </w:r>
      <w:r w:rsidR="003E043A">
        <w:t>,</w:t>
      </w:r>
      <w:r w:rsidR="001D36C1">
        <w:t xml:space="preserve">” can be selected in combination with the first or second filter. The last step is to click the Search button to </w:t>
      </w:r>
      <w:r w:rsidR="005A586A">
        <w:t>bring up</w:t>
      </w:r>
      <w:r w:rsidR="001D36C1">
        <w:t xml:space="preserve"> the</w:t>
      </w:r>
      <w:r w:rsidR="004356CD">
        <w:t xml:space="preserve"> </w:t>
      </w:r>
      <w:r w:rsidR="008B759A">
        <w:t>subgrantee</w:t>
      </w:r>
      <w:r w:rsidR="004356CD">
        <w:t>’s</w:t>
      </w:r>
      <w:r w:rsidR="001D36C1">
        <w:t xml:space="preserve"> existing services (#3 above).</w:t>
      </w:r>
    </w:p>
    <w:p w14:paraId="74FEFC92" w14:textId="752C63DF" w:rsidR="00644BD8" w:rsidRDefault="00644BD8" w:rsidP="006E7AA3">
      <w:pPr>
        <w:spacing w:after="0"/>
        <w:ind w:left="-450"/>
      </w:pPr>
    </w:p>
    <w:p w14:paraId="1BBDA5B1" w14:textId="738890EA" w:rsidR="00644BD8" w:rsidRDefault="00644BD8" w:rsidP="006E7AA3">
      <w:pPr>
        <w:spacing w:after="0"/>
        <w:ind w:left="-450"/>
      </w:pPr>
      <w:r>
        <w:t xml:space="preserve">The results table shows the number of existing services </w:t>
      </w:r>
      <w:r w:rsidR="004356CD">
        <w:t xml:space="preserve">(e.g., </w:t>
      </w:r>
      <w:r w:rsidR="00D015F6">
        <w:t>67</w:t>
      </w:r>
      <w:r w:rsidR="004356CD">
        <w:t xml:space="preserve"> in the screenshot above) </w:t>
      </w:r>
      <w:r>
        <w:t>and it provides two controls</w:t>
      </w:r>
      <w:r w:rsidR="004F7677">
        <w:t xml:space="preserve"> in each row</w:t>
      </w:r>
      <w:r>
        <w:t xml:space="preserve">. The first </w:t>
      </w:r>
      <w:r w:rsidR="00BC68D2">
        <w:t xml:space="preserve">control </w:t>
      </w:r>
      <w:r>
        <w:t>is the view icon (</w:t>
      </w:r>
      <w:r w:rsidR="00D015F6">
        <w:t>eye</w:t>
      </w:r>
      <w:r>
        <w:t xml:space="preserve">), which opens a more detailed description of the service. </w:t>
      </w:r>
      <w:r w:rsidR="00AA670E">
        <w:t>The s</w:t>
      </w:r>
      <w:r>
        <w:t xml:space="preserve">econd control is a checkmark box which can be toggled to </w:t>
      </w:r>
      <w:r w:rsidR="004F7677">
        <w:t xml:space="preserve">enable </w:t>
      </w:r>
      <w:r>
        <w:t>or disable a service.</w:t>
      </w:r>
      <w:r w:rsidR="00AA670E">
        <w:t xml:space="preserve"> The remaining columns </w:t>
      </w:r>
      <w:r w:rsidR="00B76E68">
        <w:t xml:space="preserve">in the search results table </w:t>
      </w:r>
      <w:r w:rsidR="00AA670E">
        <w:t>are defined as follows:</w:t>
      </w:r>
    </w:p>
    <w:p w14:paraId="0466459E" w14:textId="77777777" w:rsidR="00AA670E" w:rsidRDefault="00AA670E" w:rsidP="006E7AA3">
      <w:pPr>
        <w:spacing w:after="0"/>
        <w:ind w:left="-450"/>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890"/>
        <w:gridCol w:w="7830"/>
      </w:tblGrid>
      <w:tr w:rsidR="00644BD8" w:rsidRPr="00970C72" w14:paraId="009E7E6E" w14:textId="77777777" w:rsidTr="00AA670E">
        <w:trPr>
          <w:trHeight w:val="300"/>
          <w:tblHeader/>
        </w:trPr>
        <w:tc>
          <w:tcPr>
            <w:tcW w:w="1890" w:type="dxa"/>
            <w:shd w:val="clear" w:color="auto" w:fill="D9D9D9" w:themeFill="background1" w:themeFillShade="D9"/>
            <w:noWrap/>
          </w:tcPr>
          <w:p w14:paraId="40C78FBF" w14:textId="77777777" w:rsidR="00644BD8" w:rsidRPr="00970C72" w:rsidRDefault="00644BD8" w:rsidP="00DF2F5A">
            <w:pPr>
              <w:spacing w:after="0" w:line="240" w:lineRule="auto"/>
              <w:rPr>
                <w:rFonts w:eastAsia="Times New Roman" w:cstheme="minorHAnsi"/>
                <w:b/>
                <w:bCs/>
                <w:sz w:val="20"/>
                <w:szCs w:val="20"/>
              </w:rPr>
            </w:pPr>
            <w:r w:rsidRPr="00970C72">
              <w:rPr>
                <w:rFonts w:eastAsia="Times New Roman" w:cstheme="minorHAnsi"/>
                <w:b/>
                <w:bCs/>
                <w:sz w:val="20"/>
                <w:szCs w:val="20"/>
              </w:rPr>
              <w:t>Field</w:t>
            </w:r>
          </w:p>
        </w:tc>
        <w:tc>
          <w:tcPr>
            <w:tcW w:w="7830" w:type="dxa"/>
            <w:shd w:val="clear" w:color="auto" w:fill="D9D9D9" w:themeFill="background1" w:themeFillShade="D9"/>
            <w:noWrap/>
          </w:tcPr>
          <w:p w14:paraId="42E259DE" w14:textId="77777777" w:rsidR="00644BD8" w:rsidRPr="00970C72" w:rsidRDefault="00644BD8" w:rsidP="00DF2F5A">
            <w:pPr>
              <w:spacing w:after="0" w:line="240" w:lineRule="auto"/>
              <w:rPr>
                <w:rFonts w:eastAsia="Times New Roman" w:cstheme="minorHAnsi"/>
                <w:b/>
                <w:bCs/>
                <w:sz w:val="20"/>
                <w:szCs w:val="20"/>
              </w:rPr>
            </w:pPr>
            <w:r w:rsidRPr="00970C72">
              <w:rPr>
                <w:rFonts w:eastAsia="Times New Roman" w:cstheme="minorHAnsi"/>
                <w:b/>
                <w:bCs/>
                <w:sz w:val="20"/>
                <w:szCs w:val="20"/>
              </w:rPr>
              <w:t>Description</w:t>
            </w:r>
          </w:p>
        </w:tc>
      </w:tr>
      <w:tr w:rsidR="00644BD8" w:rsidRPr="00970C72" w14:paraId="110BEE1D" w14:textId="77777777" w:rsidTr="00AA670E">
        <w:trPr>
          <w:trHeight w:val="300"/>
        </w:trPr>
        <w:tc>
          <w:tcPr>
            <w:tcW w:w="1890" w:type="dxa"/>
            <w:shd w:val="clear" w:color="auto" w:fill="auto"/>
            <w:noWrap/>
            <w:vAlign w:val="center"/>
            <w:hideMark/>
          </w:tcPr>
          <w:p w14:paraId="5B650133" w14:textId="77777777" w:rsidR="00644BD8" w:rsidRPr="00970C72" w:rsidRDefault="00644BD8" w:rsidP="00DF2F5A">
            <w:pPr>
              <w:spacing w:after="0" w:line="240" w:lineRule="auto"/>
              <w:rPr>
                <w:rFonts w:eastAsia="Times New Roman" w:cstheme="minorHAnsi"/>
                <w:bCs/>
                <w:sz w:val="20"/>
                <w:szCs w:val="20"/>
              </w:rPr>
            </w:pPr>
            <w:r>
              <w:rPr>
                <w:rFonts w:eastAsia="Times New Roman" w:cstheme="minorHAnsi"/>
                <w:bCs/>
                <w:sz w:val="20"/>
                <w:szCs w:val="20"/>
              </w:rPr>
              <w:t>Region</w:t>
            </w:r>
          </w:p>
        </w:tc>
        <w:tc>
          <w:tcPr>
            <w:tcW w:w="7830" w:type="dxa"/>
            <w:shd w:val="clear" w:color="auto" w:fill="auto"/>
            <w:noWrap/>
            <w:vAlign w:val="center"/>
          </w:tcPr>
          <w:p w14:paraId="4CEBE70E" w14:textId="7E1A7832" w:rsidR="00644BD8" w:rsidRPr="00970C72" w:rsidRDefault="00644BD8" w:rsidP="00DF2F5A">
            <w:pPr>
              <w:spacing w:after="0" w:line="240" w:lineRule="auto"/>
              <w:rPr>
                <w:rFonts w:eastAsia="Times New Roman" w:cstheme="minorHAnsi"/>
                <w:bCs/>
                <w:sz w:val="20"/>
                <w:szCs w:val="20"/>
              </w:rPr>
            </w:pPr>
            <w:r>
              <w:rPr>
                <w:rFonts w:ascii="Calibri" w:hAnsi="Calibri"/>
                <w:sz w:val="20"/>
                <w:szCs w:val="20"/>
              </w:rPr>
              <w:t>The regional office or direct-funded district number</w:t>
            </w:r>
          </w:p>
        </w:tc>
      </w:tr>
      <w:tr w:rsidR="00644BD8" w:rsidRPr="00970C72" w14:paraId="3F846507" w14:textId="77777777" w:rsidTr="00AA670E">
        <w:trPr>
          <w:trHeight w:val="300"/>
        </w:trPr>
        <w:tc>
          <w:tcPr>
            <w:tcW w:w="1890" w:type="dxa"/>
            <w:shd w:val="clear" w:color="auto" w:fill="auto"/>
            <w:noWrap/>
            <w:vAlign w:val="center"/>
            <w:hideMark/>
          </w:tcPr>
          <w:p w14:paraId="11BA82D7" w14:textId="270AA81F" w:rsidR="00644BD8" w:rsidRPr="00970C72" w:rsidRDefault="00AA670E" w:rsidP="00DF2F5A">
            <w:pPr>
              <w:spacing w:after="0" w:line="240" w:lineRule="auto"/>
              <w:rPr>
                <w:rFonts w:eastAsia="Times New Roman" w:cstheme="minorHAnsi"/>
                <w:bCs/>
                <w:sz w:val="20"/>
                <w:szCs w:val="20"/>
              </w:rPr>
            </w:pPr>
            <w:r>
              <w:rPr>
                <w:rFonts w:eastAsia="Times New Roman" w:cstheme="minorHAnsi"/>
                <w:bCs/>
                <w:sz w:val="20"/>
                <w:szCs w:val="20"/>
              </w:rPr>
              <w:t>Local Service Code</w:t>
            </w:r>
          </w:p>
        </w:tc>
        <w:tc>
          <w:tcPr>
            <w:tcW w:w="7830" w:type="dxa"/>
            <w:shd w:val="clear" w:color="auto" w:fill="auto"/>
            <w:noWrap/>
            <w:vAlign w:val="center"/>
          </w:tcPr>
          <w:p w14:paraId="3B3A1D57" w14:textId="5644DB1D" w:rsidR="00644BD8" w:rsidRPr="00970C72" w:rsidRDefault="00AA670E" w:rsidP="00DF2F5A">
            <w:pPr>
              <w:spacing w:after="0" w:line="240" w:lineRule="auto"/>
              <w:rPr>
                <w:rFonts w:eastAsia="Times New Roman" w:cstheme="minorHAnsi"/>
                <w:bCs/>
                <w:sz w:val="20"/>
                <w:szCs w:val="20"/>
              </w:rPr>
            </w:pPr>
            <w:r w:rsidRPr="004356CD">
              <w:rPr>
                <w:rFonts w:ascii="Calibri" w:hAnsi="Calibri"/>
                <w:sz w:val="20"/>
                <w:szCs w:val="20"/>
              </w:rPr>
              <w:t>A unique code number for the service, determined locally by the region or direct</w:t>
            </w:r>
            <w:r w:rsidR="00D4589E">
              <w:rPr>
                <w:rFonts w:ascii="Calibri" w:hAnsi="Calibri"/>
                <w:sz w:val="20"/>
                <w:szCs w:val="20"/>
              </w:rPr>
              <w:t>-</w:t>
            </w:r>
            <w:r w:rsidRPr="004356CD">
              <w:rPr>
                <w:rFonts w:ascii="Calibri" w:hAnsi="Calibri"/>
                <w:sz w:val="20"/>
                <w:szCs w:val="20"/>
              </w:rPr>
              <w:t>funded district</w:t>
            </w:r>
          </w:p>
        </w:tc>
      </w:tr>
      <w:tr w:rsidR="00644BD8" w14:paraId="7BEF65C0" w14:textId="77777777" w:rsidTr="00AA670E">
        <w:trPr>
          <w:trHeight w:val="300"/>
        </w:trPr>
        <w:tc>
          <w:tcPr>
            <w:tcW w:w="1890" w:type="dxa"/>
            <w:shd w:val="clear" w:color="auto" w:fill="auto"/>
            <w:noWrap/>
            <w:vAlign w:val="center"/>
          </w:tcPr>
          <w:p w14:paraId="55248FE3" w14:textId="540FB5FA" w:rsidR="00644BD8" w:rsidRPr="00970C72" w:rsidRDefault="004356CD" w:rsidP="00DF2F5A">
            <w:pPr>
              <w:spacing w:after="0" w:line="240" w:lineRule="auto"/>
              <w:rPr>
                <w:rFonts w:eastAsia="Times New Roman" w:cstheme="minorHAnsi"/>
                <w:bCs/>
                <w:sz w:val="20"/>
                <w:szCs w:val="20"/>
              </w:rPr>
            </w:pPr>
            <w:r>
              <w:rPr>
                <w:rFonts w:eastAsia="Times New Roman" w:cstheme="minorHAnsi"/>
                <w:bCs/>
                <w:sz w:val="20"/>
                <w:szCs w:val="20"/>
              </w:rPr>
              <w:t>State Service Code</w:t>
            </w:r>
          </w:p>
        </w:tc>
        <w:tc>
          <w:tcPr>
            <w:tcW w:w="7830" w:type="dxa"/>
            <w:shd w:val="clear" w:color="auto" w:fill="auto"/>
            <w:noWrap/>
            <w:vAlign w:val="center"/>
          </w:tcPr>
          <w:p w14:paraId="76B0E934" w14:textId="5F006095" w:rsidR="00644BD8" w:rsidRDefault="004356CD" w:rsidP="00DF2F5A">
            <w:pPr>
              <w:spacing w:after="0" w:line="240" w:lineRule="auto"/>
              <w:rPr>
                <w:rFonts w:eastAsia="Times New Roman" w:cstheme="minorHAnsi"/>
                <w:bCs/>
                <w:sz w:val="20"/>
                <w:szCs w:val="20"/>
              </w:rPr>
            </w:pPr>
            <w:r w:rsidRPr="004356CD">
              <w:rPr>
                <w:rFonts w:ascii="Calibri" w:hAnsi="Calibri"/>
                <w:sz w:val="20"/>
                <w:szCs w:val="20"/>
              </w:rPr>
              <w:t xml:space="preserve">A unique code number for the service, determined </w:t>
            </w:r>
            <w:r>
              <w:rPr>
                <w:rFonts w:ascii="Calibri" w:hAnsi="Calibri"/>
                <w:sz w:val="20"/>
                <w:szCs w:val="20"/>
              </w:rPr>
              <w:t>by CDE</w:t>
            </w:r>
          </w:p>
        </w:tc>
      </w:tr>
      <w:tr w:rsidR="00644BD8" w:rsidRPr="00970C72" w14:paraId="7C5B39D8" w14:textId="77777777" w:rsidTr="00AA670E">
        <w:trPr>
          <w:trHeight w:val="300"/>
        </w:trPr>
        <w:tc>
          <w:tcPr>
            <w:tcW w:w="1890" w:type="dxa"/>
            <w:shd w:val="clear" w:color="auto" w:fill="auto"/>
            <w:noWrap/>
            <w:vAlign w:val="center"/>
            <w:hideMark/>
          </w:tcPr>
          <w:p w14:paraId="2A1F6C50" w14:textId="706B4394" w:rsidR="00644BD8" w:rsidRPr="00970C72" w:rsidRDefault="004356CD" w:rsidP="00DF2F5A">
            <w:pPr>
              <w:spacing w:after="0" w:line="240" w:lineRule="auto"/>
              <w:rPr>
                <w:rFonts w:eastAsia="Times New Roman" w:cstheme="minorHAnsi"/>
                <w:bCs/>
                <w:sz w:val="20"/>
                <w:szCs w:val="20"/>
              </w:rPr>
            </w:pPr>
            <w:r>
              <w:rPr>
                <w:rFonts w:eastAsia="Times New Roman" w:cstheme="minorHAnsi"/>
                <w:bCs/>
                <w:sz w:val="20"/>
                <w:szCs w:val="20"/>
              </w:rPr>
              <w:t>Name</w:t>
            </w:r>
          </w:p>
        </w:tc>
        <w:tc>
          <w:tcPr>
            <w:tcW w:w="7830" w:type="dxa"/>
            <w:shd w:val="clear" w:color="auto" w:fill="auto"/>
            <w:noWrap/>
            <w:vAlign w:val="center"/>
          </w:tcPr>
          <w:p w14:paraId="128B12C1" w14:textId="3555F6B4" w:rsidR="00644BD8" w:rsidRPr="00970C72" w:rsidRDefault="004356CD" w:rsidP="00DF2F5A">
            <w:pPr>
              <w:spacing w:after="0" w:line="240" w:lineRule="auto"/>
              <w:rPr>
                <w:rFonts w:eastAsia="Times New Roman" w:cstheme="minorHAnsi"/>
                <w:bCs/>
                <w:sz w:val="20"/>
                <w:szCs w:val="20"/>
              </w:rPr>
            </w:pPr>
            <w:r w:rsidRPr="00362A9B">
              <w:rPr>
                <w:rFonts w:ascii="Calibri" w:hAnsi="Calibri"/>
                <w:sz w:val="20"/>
                <w:szCs w:val="20"/>
              </w:rPr>
              <w:t>A descriptive name for the service</w:t>
            </w:r>
          </w:p>
        </w:tc>
      </w:tr>
      <w:tr w:rsidR="00644BD8" w:rsidRPr="00970C72" w14:paraId="239ADF6C" w14:textId="77777777" w:rsidTr="00AA670E">
        <w:trPr>
          <w:trHeight w:val="300"/>
        </w:trPr>
        <w:tc>
          <w:tcPr>
            <w:tcW w:w="1890" w:type="dxa"/>
            <w:shd w:val="clear" w:color="auto" w:fill="auto"/>
            <w:noWrap/>
            <w:vAlign w:val="center"/>
            <w:hideMark/>
          </w:tcPr>
          <w:p w14:paraId="52C71B76" w14:textId="70EEB74F" w:rsidR="00644BD8" w:rsidRPr="00970C72" w:rsidRDefault="004356CD" w:rsidP="00DF2F5A">
            <w:pPr>
              <w:spacing w:after="0" w:line="240" w:lineRule="auto"/>
              <w:rPr>
                <w:rFonts w:eastAsia="Times New Roman" w:cstheme="minorHAnsi"/>
                <w:bCs/>
                <w:sz w:val="20"/>
                <w:szCs w:val="20"/>
              </w:rPr>
            </w:pPr>
            <w:r>
              <w:rPr>
                <w:rFonts w:eastAsia="Times New Roman" w:cstheme="minorHAnsi"/>
                <w:bCs/>
                <w:sz w:val="20"/>
                <w:szCs w:val="20"/>
              </w:rPr>
              <w:t>Measurable Program Objective</w:t>
            </w:r>
          </w:p>
        </w:tc>
        <w:tc>
          <w:tcPr>
            <w:tcW w:w="7830" w:type="dxa"/>
            <w:shd w:val="clear" w:color="auto" w:fill="auto"/>
            <w:noWrap/>
            <w:vAlign w:val="center"/>
          </w:tcPr>
          <w:p w14:paraId="3B7571C8" w14:textId="769AE798" w:rsidR="00644BD8" w:rsidRPr="00970C72" w:rsidRDefault="00362A9B" w:rsidP="00DF2F5A">
            <w:pPr>
              <w:spacing w:after="0" w:line="240" w:lineRule="auto"/>
              <w:rPr>
                <w:rFonts w:eastAsia="Times New Roman" w:cstheme="minorHAnsi"/>
                <w:bCs/>
                <w:sz w:val="20"/>
                <w:szCs w:val="20"/>
              </w:rPr>
            </w:pPr>
            <w:r>
              <w:rPr>
                <w:rFonts w:ascii="Calibri" w:hAnsi="Calibri"/>
                <w:sz w:val="20"/>
                <w:szCs w:val="20"/>
              </w:rPr>
              <w:t xml:space="preserve">If applicable, the </w:t>
            </w:r>
            <w:r w:rsidR="003E432C">
              <w:rPr>
                <w:rFonts w:ascii="Calibri" w:hAnsi="Calibri"/>
                <w:sz w:val="20"/>
                <w:szCs w:val="20"/>
              </w:rPr>
              <w:t>Measurable Program O</w:t>
            </w:r>
            <w:r>
              <w:rPr>
                <w:rFonts w:ascii="Calibri" w:hAnsi="Calibri"/>
                <w:sz w:val="20"/>
                <w:szCs w:val="20"/>
              </w:rPr>
              <w:t>bjective number and name that aligns with the service</w:t>
            </w:r>
          </w:p>
        </w:tc>
      </w:tr>
      <w:tr w:rsidR="00644BD8" w:rsidRPr="00970C72" w14:paraId="2D2F80E1" w14:textId="77777777" w:rsidTr="00AA670E">
        <w:trPr>
          <w:trHeight w:val="300"/>
        </w:trPr>
        <w:tc>
          <w:tcPr>
            <w:tcW w:w="1890" w:type="dxa"/>
            <w:shd w:val="clear" w:color="auto" w:fill="auto"/>
            <w:noWrap/>
            <w:vAlign w:val="center"/>
            <w:hideMark/>
          </w:tcPr>
          <w:p w14:paraId="0779FCF1" w14:textId="7D65CCD3" w:rsidR="00644BD8" w:rsidRPr="00970C72" w:rsidRDefault="004356CD" w:rsidP="00DF2F5A">
            <w:pPr>
              <w:spacing w:after="0" w:line="240" w:lineRule="auto"/>
              <w:rPr>
                <w:rFonts w:eastAsia="Times New Roman" w:cstheme="minorHAnsi"/>
                <w:bCs/>
                <w:sz w:val="20"/>
                <w:szCs w:val="20"/>
              </w:rPr>
            </w:pPr>
            <w:r>
              <w:rPr>
                <w:rFonts w:eastAsia="Times New Roman" w:cstheme="minorHAnsi"/>
                <w:bCs/>
                <w:sz w:val="20"/>
                <w:szCs w:val="20"/>
              </w:rPr>
              <w:t>SSDP Components</w:t>
            </w:r>
          </w:p>
        </w:tc>
        <w:tc>
          <w:tcPr>
            <w:tcW w:w="7830" w:type="dxa"/>
            <w:shd w:val="clear" w:color="auto" w:fill="auto"/>
            <w:noWrap/>
            <w:vAlign w:val="center"/>
          </w:tcPr>
          <w:p w14:paraId="6DE960B2" w14:textId="555FB975" w:rsidR="00644BD8" w:rsidRPr="00970C72" w:rsidRDefault="003E432C" w:rsidP="00DF2F5A">
            <w:pPr>
              <w:spacing w:after="0" w:line="240" w:lineRule="auto"/>
              <w:rPr>
                <w:rFonts w:eastAsia="Times New Roman" w:cstheme="minorHAnsi"/>
                <w:bCs/>
                <w:sz w:val="20"/>
                <w:szCs w:val="20"/>
              </w:rPr>
            </w:pPr>
            <w:r>
              <w:rPr>
                <w:rFonts w:ascii="Calibri" w:hAnsi="Calibri"/>
                <w:sz w:val="20"/>
                <w:szCs w:val="20"/>
              </w:rPr>
              <w:t xml:space="preserve">If applicable, State Service Delivery Plan </w:t>
            </w:r>
            <w:r w:rsidR="00D4589E">
              <w:rPr>
                <w:rFonts w:ascii="Calibri" w:hAnsi="Calibri"/>
                <w:sz w:val="20"/>
                <w:szCs w:val="20"/>
              </w:rPr>
              <w:t xml:space="preserve">(SSDP) </w:t>
            </w:r>
            <w:r>
              <w:rPr>
                <w:rFonts w:ascii="Calibri" w:hAnsi="Calibri"/>
                <w:sz w:val="20"/>
                <w:szCs w:val="20"/>
              </w:rPr>
              <w:t xml:space="preserve">component(s) that apply to the service (e.g., social-emotional component for school readiness services)  </w:t>
            </w:r>
          </w:p>
        </w:tc>
      </w:tr>
      <w:tr w:rsidR="00644BD8" w:rsidRPr="00970C72" w14:paraId="3FB6B562" w14:textId="77777777" w:rsidTr="00AA670E">
        <w:trPr>
          <w:trHeight w:val="300"/>
        </w:trPr>
        <w:tc>
          <w:tcPr>
            <w:tcW w:w="1890" w:type="dxa"/>
            <w:shd w:val="clear" w:color="auto" w:fill="auto"/>
            <w:noWrap/>
            <w:vAlign w:val="center"/>
            <w:hideMark/>
          </w:tcPr>
          <w:p w14:paraId="12700717" w14:textId="6522D18B" w:rsidR="00644BD8" w:rsidRPr="00970C72" w:rsidRDefault="004356CD" w:rsidP="00DF2F5A">
            <w:pPr>
              <w:spacing w:after="0" w:line="240" w:lineRule="auto"/>
              <w:rPr>
                <w:rFonts w:eastAsia="Times New Roman" w:cstheme="minorHAnsi"/>
                <w:bCs/>
                <w:sz w:val="20"/>
                <w:szCs w:val="20"/>
              </w:rPr>
            </w:pPr>
            <w:r>
              <w:rPr>
                <w:rFonts w:eastAsia="Times New Roman" w:cstheme="minorHAnsi"/>
                <w:bCs/>
                <w:sz w:val="20"/>
                <w:szCs w:val="20"/>
              </w:rPr>
              <w:t>Federal Category</w:t>
            </w:r>
          </w:p>
        </w:tc>
        <w:tc>
          <w:tcPr>
            <w:tcW w:w="7830" w:type="dxa"/>
            <w:shd w:val="clear" w:color="auto" w:fill="auto"/>
            <w:noWrap/>
            <w:vAlign w:val="center"/>
          </w:tcPr>
          <w:p w14:paraId="6ECCBE8A" w14:textId="7C126E67" w:rsidR="00644BD8" w:rsidRPr="00970C72" w:rsidRDefault="003E432C" w:rsidP="00DF2F5A">
            <w:pPr>
              <w:spacing w:after="0" w:line="240" w:lineRule="auto"/>
              <w:rPr>
                <w:rFonts w:eastAsia="Times New Roman" w:cstheme="minorHAnsi"/>
                <w:bCs/>
                <w:sz w:val="20"/>
                <w:szCs w:val="20"/>
              </w:rPr>
            </w:pPr>
            <w:r>
              <w:rPr>
                <w:rFonts w:eastAsia="Times New Roman" w:cstheme="minorHAnsi"/>
                <w:bCs/>
                <w:sz w:val="20"/>
                <w:szCs w:val="20"/>
              </w:rPr>
              <w:t xml:space="preserve">Service type used for federal reporting, as defined by the U.S. Department of Education (ED) data submission </w:t>
            </w:r>
            <w:r w:rsidR="00315C91">
              <w:rPr>
                <w:rFonts w:eastAsia="Times New Roman" w:cstheme="minorHAnsi"/>
                <w:bCs/>
                <w:sz w:val="20"/>
                <w:szCs w:val="20"/>
              </w:rPr>
              <w:t>specifications</w:t>
            </w:r>
            <w:r>
              <w:rPr>
                <w:rFonts w:eastAsia="Times New Roman" w:cstheme="minorHAnsi"/>
                <w:bCs/>
                <w:sz w:val="20"/>
                <w:szCs w:val="20"/>
              </w:rPr>
              <w:t xml:space="preserve"> (i.e., EDFacts) for the Migrant Education Program </w:t>
            </w:r>
          </w:p>
        </w:tc>
      </w:tr>
      <w:tr w:rsidR="00644BD8" w14:paraId="18F6BE03" w14:textId="77777777" w:rsidTr="00AA670E">
        <w:trPr>
          <w:trHeight w:val="300"/>
        </w:trPr>
        <w:tc>
          <w:tcPr>
            <w:tcW w:w="1890" w:type="dxa"/>
            <w:shd w:val="clear" w:color="auto" w:fill="auto"/>
            <w:noWrap/>
            <w:vAlign w:val="center"/>
          </w:tcPr>
          <w:p w14:paraId="5F59572D" w14:textId="1E2C75AB" w:rsidR="00644BD8" w:rsidRPr="00970C72" w:rsidRDefault="004356CD" w:rsidP="00DF2F5A">
            <w:pPr>
              <w:spacing w:after="0" w:line="240" w:lineRule="auto"/>
              <w:rPr>
                <w:rFonts w:eastAsia="Times New Roman" w:cstheme="minorHAnsi"/>
                <w:bCs/>
                <w:sz w:val="20"/>
                <w:szCs w:val="20"/>
              </w:rPr>
            </w:pPr>
            <w:r>
              <w:rPr>
                <w:rFonts w:eastAsia="Times New Roman" w:cstheme="minorHAnsi"/>
                <w:bCs/>
                <w:sz w:val="20"/>
                <w:szCs w:val="20"/>
              </w:rPr>
              <w:t>Service Category</w:t>
            </w:r>
          </w:p>
        </w:tc>
        <w:tc>
          <w:tcPr>
            <w:tcW w:w="7830" w:type="dxa"/>
            <w:shd w:val="clear" w:color="auto" w:fill="auto"/>
            <w:noWrap/>
            <w:vAlign w:val="center"/>
          </w:tcPr>
          <w:p w14:paraId="01724CBE" w14:textId="08AE34F2" w:rsidR="00644BD8" w:rsidRDefault="003E432C" w:rsidP="00DF2F5A">
            <w:pPr>
              <w:spacing w:after="0" w:line="240" w:lineRule="auto"/>
              <w:rPr>
                <w:rFonts w:eastAsia="Times New Roman" w:cstheme="minorHAnsi"/>
                <w:bCs/>
                <w:sz w:val="20"/>
                <w:szCs w:val="20"/>
              </w:rPr>
            </w:pPr>
            <w:r>
              <w:rPr>
                <w:rFonts w:ascii="Calibri" w:hAnsi="Calibri"/>
                <w:sz w:val="20"/>
                <w:szCs w:val="20"/>
              </w:rPr>
              <w:t xml:space="preserve">Category indicating whether the service </w:t>
            </w:r>
            <w:r w:rsidR="00BC68D2">
              <w:rPr>
                <w:rFonts w:ascii="Calibri" w:hAnsi="Calibri"/>
                <w:sz w:val="20"/>
                <w:szCs w:val="20"/>
              </w:rPr>
              <w:t>is</w:t>
            </w:r>
            <w:r>
              <w:rPr>
                <w:rFonts w:ascii="Calibri" w:hAnsi="Calibri"/>
                <w:sz w:val="20"/>
                <w:szCs w:val="20"/>
              </w:rPr>
              <w:t xml:space="preserve"> instructional or support</w:t>
            </w:r>
            <w:r w:rsidR="00315C91">
              <w:rPr>
                <w:rFonts w:ascii="Calibri" w:hAnsi="Calibri"/>
                <w:sz w:val="20"/>
                <w:szCs w:val="20"/>
              </w:rPr>
              <w:t>ive</w:t>
            </w:r>
          </w:p>
        </w:tc>
      </w:tr>
      <w:tr w:rsidR="004356CD" w14:paraId="41A40DBE" w14:textId="77777777" w:rsidTr="00AA670E">
        <w:trPr>
          <w:trHeight w:val="300"/>
        </w:trPr>
        <w:tc>
          <w:tcPr>
            <w:tcW w:w="1890" w:type="dxa"/>
            <w:shd w:val="clear" w:color="auto" w:fill="auto"/>
            <w:noWrap/>
            <w:vAlign w:val="center"/>
          </w:tcPr>
          <w:p w14:paraId="765EF050" w14:textId="3E8C712B" w:rsidR="004356CD" w:rsidRDefault="004356CD" w:rsidP="00DF2F5A">
            <w:pPr>
              <w:spacing w:after="0" w:line="240" w:lineRule="auto"/>
              <w:rPr>
                <w:rFonts w:eastAsia="Times New Roman" w:cstheme="minorHAnsi"/>
                <w:bCs/>
                <w:sz w:val="20"/>
                <w:szCs w:val="20"/>
              </w:rPr>
            </w:pPr>
            <w:r>
              <w:rPr>
                <w:rFonts w:eastAsia="Times New Roman" w:cstheme="minorHAnsi"/>
                <w:bCs/>
                <w:sz w:val="20"/>
                <w:szCs w:val="20"/>
              </w:rPr>
              <w:t>Grade Range</w:t>
            </w:r>
          </w:p>
        </w:tc>
        <w:tc>
          <w:tcPr>
            <w:tcW w:w="7830" w:type="dxa"/>
            <w:shd w:val="clear" w:color="auto" w:fill="auto"/>
            <w:noWrap/>
            <w:vAlign w:val="center"/>
          </w:tcPr>
          <w:p w14:paraId="33363535" w14:textId="74A4F730" w:rsidR="004356CD" w:rsidRDefault="00315C91" w:rsidP="00DF2F5A">
            <w:pPr>
              <w:spacing w:after="0" w:line="240" w:lineRule="auto"/>
              <w:rPr>
                <w:rFonts w:ascii="Calibri" w:hAnsi="Calibri"/>
                <w:sz w:val="20"/>
                <w:szCs w:val="20"/>
              </w:rPr>
            </w:pPr>
            <w:r>
              <w:rPr>
                <w:rFonts w:ascii="Calibri" w:hAnsi="Calibri"/>
                <w:sz w:val="20"/>
                <w:szCs w:val="20"/>
              </w:rPr>
              <w:t>Grades for which the service is appropriate and applicable</w:t>
            </w:r>
          </w:p>
        </w:tc>
      </w:tr>
      <w:tr w:rsidR="00830952" w14:paraId="428B7BE2" w14:textId="77777777" w:rsidTr="00AA670E">
        <w:trPr>
          <w:trHeight w:val="300"/>
        </w:trPr>
        <w:tc>
          <w:tcPr>
            <w:tcW w:w="1890" w:type="dxa"/>
            <w:shd w:val="clear" w:color="auto" w:fill="auto"/>
            <w:noWrap/>
            <w:vAlign w:val="center"/>
          </w:tcPr>
          <w:p w14:paraId="7101ECBA" w14:textId="592C6900" w:rsidR="00830952" w:rsidRDefault="00830952" w:rsidP="00DF2F5A">
            <w:pPr>
              <w:spacing w:after="0" w:line="240" w:lineRule="auto"/>
              <w:rPr>
                <w:rFonts w:eastAsia="Times New Roman" w:cstheme="minorHAnsi"/>
                <w:bCs/>
                <w:sz w:val="20"/>
                <w:szCs w:val="20"/>
              </w:rPr>
            </w:pPr>
            <w:r>
              <w:rPr>
                <w:rFonts w:eastAsia="Times New Roman" w:cstheme="minorHAnsi"/>
                <w:bCs/>
                <w:sz w:val="20"/>
                <w:szCs w:val="20"/>
              </w:rPr>
              <w:t>Service Period</w:t>
            </w:r>
            <w:r w:rsidR="00D015F6">
              <w:rPr>
                <w:rFonts w:eastAsia="Times New Roman" w:cstheme="minorHAnsi"/>
                <w:bCs/>
                <w:sz w:val="20"/>
                <w:szCs w:val="20"/>
              </w:rPr>
              <w:t>s</w:t>
            </w:r>
          </w:p>
        </w:tc>
        <w:tc>
          <w:tcPr>
            <w:tcW w:w="7830" w:type="dxa"/>
            <w:shd w:val="clear" w:color="auto" w:fill="auto"/>
            <w:noWrap/>
            <w:vAlign w:val="center"/>
          </w:tcPr>
          <w:p w14:paraId="71E39301" w14:textId="74B0D74B" w:rsidR="00830952" w:rsidRDefault="00F156C6" w:rsidP="00DF2F5A">
            <w:pPr>
              <w:spacing w:after="0" w:line="240" w:lineRule="auto"/>
              <w:rPr>
                <w:rFonts w:ascii="Calibri" w:hAnsi="Calibri"/>
                <w:sz w:val="20"/>
                <w:szCs w:val="20"/>
              </w:rPr>
            </w:pPr>
            <w:r>
              <w:rPr>
                <w:rFonts w:ascii="Calibri" w:hAnsi="Calibri"/>
                <w:sz w:val="20"/>
                <w:szCs w:val="20"/>
              </w:rPr>
              <w:t>Service period(s) when the service is offere</w:t>
            </w:r>
            <w:r w:rsidR="00840A55">
              <w:rPr>
                <w:rFonts w:ascii="Calibri" w:hAnsi="Calibri"/>
                <w:sz w:val="20"/>
                <w:szCs w:val="20"/>
              </w:rPr>
              <w:t>d</w:t>
            </w:r>
          </w:p>
        </w:tc>
      </w:tr>
    </w:tbl>
    <w:p w14:paraId="35596013" w14:textId="59876A61" w:rsidR="00644BD8" w:rsidRDefault="00644BD8" w:rsidP="006E7AA3">
      <w:pPr>
        <w:spacing w:after="0"/>
        <w:ind w:left="-450"/>
      </w:pPr>
    </w:p>
    <w:p w14:paraId="3DF645E3" w14:textId="5F01FC1F" w:rsidR="00315C91" w:rsidRPr="00B77842" w:rsidRDefault="00BE0C78" w:rsidP="00315C91">
      <w:pPr>
        <w:pStyle w:val="Heading1"/>
        <w:spacing w:before="0"/>
        <w:ind w:left="-450"/>
        <w:rPr>
          <w:sz w:val="28"/>
          <w:szCs w:val="28"/>
        </w:rPr>
      </w:pPr>
      <w:r>
        <w:t>Enabling a</w:t>
      </w:r>
      <w:r w:rsidR="00315C91">
        <w:t>nd D</w:t>
      </w:r>
      <w:r>
        <w:t xml:space="preserve">isabling </w:t>
      </w:r>
      <w:r w:rsidR="00315C91">
        <w:t>Services</w:t>
      </w:r>
      <w:r w:rsidR="00B77842">
        <w:t xml:space="preserve"> </w:t>
      </w:r>
      <w:r w:rsidR="00B77842" w:rsidRPr="00B77842">
        <w:rPr>
          <w:sz w:val="28"/>
          <w:szCs w:val="28"/>
        </w:rPr>
        <w:t>(Regional Administrators, Data Specialists)</w:t>
      </w:r>
    </w:p>
    <w:p w14:paraId="20F3B03B" w14:textId="0976DF49" w:rsidR="00BE0C78" w:rsidRDefault="00BE0C78" w:rsidP="006E7AA3">
      <w:pPr>
        <w:spacing w:after="0"/>
        <w:ind w:left="-450"/>
      </w:pPr>
      <w:r>
        <w:t xml:space="preserve">After searching for services, you can use the </w:t>
      </w:r>
      <w:r w:rsidR="00BC68D2">
        <w:t>r</w:t>
      </w:r>
      <w:r>
        <w:t xml:space="preserve">esults table to review and, if needed, </w:t>
      </w:r>
      <w:r w:rsidR="00733E2B">
        <w:t>toggl</w:t>
      </w:r>
      <w:r w:rsidR="00840A55">
        <w:t>e</w:t>
      </w:r>
      <w:r w:rsidR="00733E2B">
        <w:t xml:space="preserve"> the checkmark box in the second column</w:t>
      </w:r>
      <w:r w:rsidR="007A3ABD">
        <w:t xml:space="preserve"> to enable or disable services</w:t>
      </w:r>
      <w:r w:rsidR="00733E2B">
        <w:t xml:space="preserve">. </w:t>
      </w:r>
      <w:r w:rsidR="00CA7B43">
        <w:t>I</w:t>
      </w:r>
      <w:r>
        <w:t>f a service will no longer be used</w:t>
      </w:r>
      <w:r w:rsidR="008559F3">
        <w:t>,</w:t>
      </w:r>
      <w:r>
        <w:t xml:space="preserve"> it should be disabled </w:t>
      </w:r>
      <w:r w:rsidR="00733E2B">
        <w:t xml:space="preserve">(i.e., unchecked) </w:t>
      </w:r>
      <w:r>
        <w:t xml:space="preserve">so that it </w:t>
      </w:r>
      <w:r w:rsidR="00BC68D2">
        <w:t>does not</w:t>
      </w:r>
      <w:r>
        <w:t xml:space="preserve"> appear as an option in the service entry screens. Disabling unneeded services makes it much easier for data entry staff to quickly find the service</w:t>
      </w:r>
      <w:r w:rsidR="00CA7B43">
        <w:t>s th</w:t>
      </w:r>
      <w:r w:rsidR="000A572E">
        <w:t>ey should use to report student participation</w:t>
      </w:r>
      <w:r w:rsidR="00733E2B">
        <w:t xml:space="preserve">. </w:t>
      </w:r>
      <w:r w:rsidR="00E66DD6">
        <w:t xml:space="preserve">Any changes </w:t>
      </w:r>
      <w:r w:rsidR="00733E2B">
        <w:t xml:space="preserve">will prompt </w:t>
      </w:r>
      <w:r w:rsidR="00E66DD6">
        <w:t xml:space="preserve">a </w:t>
      </w:r>
      <w:r w:rsidR="00733E2B">
        <w:t>confirmation window</w:t>
      </w:r>
      <w:r w:rsidR="00E66DD6">
        <w:t>, as shown in the example below.</w:t>
      </w:r>
    </w:p>
    <w:p w14:paraId="73326DBD" w14:textId="77777777" w:rsidR="00274F69" w:rsidRDefault="00274F69" w:rsidP="006E7AA3">
      <w:pPr>
        <w:spacing w:after="0"/>
        <w:ind w:left="-450"/>
      </w:pPr>
    </w:p>
    <w:p w14:paraId="48CADD56" w14:textId="14586BC5" w:rsidR="00274F69" w:rsidRDefault="00274F69" w:rsidP="006E7AA3">
      <w:pPr>
        <w:spacing w:after="0"/>
        <w:ind w:left="-450"/>
      </w:pPr>
      <w:r>
        <w:rPr>
          <w:noProof/>
        </w:rPr>
        <w:drawing>
          <wp:inline distT="0" distB="0" distL="0" distR="0" wp14:anchorId="1F2B25D5" wp14:editId="61D52479">
            <wp:extent cx="6426200" cy="1727167"/>
            <wp:effectExtent l="0" t="0" r="0" b="6985"/>
            <wp:docPr id="3" name="Picture 3" descr="Close-up of the results table, showing the confirmation message when toggling the service as Ac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up of the results table, showing the confirmation message when toggling the service as Active/Disabl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48145" cy="1733065"/>
                    </a:xfrm>
                    <a:prstGeom prst="rect">
                      <a:avLst/>
                    </a:prstGeom>
                    <a:ln w="3175">
                      <a:noFill/>
                    </a:ln>
                  </pic:spPr>
                </pic:pic>
              </a:graphicData>
            </a:graphic>
          </wp:inline>
        </w:drawing>
      </w:r>
    </w:p>
    <w:p w14:paraId="2720671A" w14:textId="77777777" w:rsidR="00BE0C78" w:rsidRDefault="00BE0C78" w:rsidP="006E7AA3">
      <w:pPr>
        <w:spacing w:after="0"/>
        <w:ind w:left="-450"/>
      </w:pPr>
    </w:p>
    <w:p w14:paraId="7BD5F728" w14:textId="5B9E5FAB" w:rsidR="00315C91" w:rsidRDefault="00274F69" w:rsidP="006E7AA3">
      <w:pPr>
        <w:spacing w:after="0"/>
        <w:ind w:left="-450"/>
      </w:pPr>
      <w:r>
        <w:lastRenderedPageBreak/>
        <w:t>After confirming, th</w:t>
      </w:r>
      <w:r w:rsidR="007425B7">
        <w:t>e service above</w:t>
      </w:r>
      <w:r>
        <w:t xml:space="preserve"> (Local Service Code </w:t>
      </w:r>
      <w:r w:rsidR="00E97081">
        <w:t>511</w:t>
      </w:r>
      <w:r>
        <w:t>) will no longer be checked and the service name (</w:t>
      </w:r>
      <w:r w:rsidR="00E97081">
        <w:t>Regional Summer ELA Intervention</w:t>
      </w:r>
      <w:r>
        <w:t>...) will no</w:t>
      </w:r>
      <w:r w:rsidR="00E66DD6">
        <w:t>t</w:t>
      </w:r>
      <w:r>
        <w:t xml:space="preserve"> appear as an option </w:t>
      </w:r>
      <w:r w:rsidR="00F35EFC">
        <w:t>on</w:t>
      </w:r>
      <w:r>
        <w:t xml:space="preserve"> the service entry screens.</w:t>
      </w:r>
      <w:r w:rsidR="007425B7">
        <w:t xml:space="preserve"> If the service is needed in the future, it can be enabled again </w:t>
      </w:r>
      <w:r w:rsidR="00E66DD6">
        <w:t xml:space="preserve">by toggling the </w:t>
      </w:r>
      <w:r w:rsidR="007425B7">
        <w:t>same check</w:t>
      </w:r>
      <w:r w:rsidR="00E66DD6">
        <w:t xml:space="preserve">mark </w:t>
      </w:r>
      <w:r w:rsidR="007425B7">
        <w:t>box.</w:t>
      </w:r>
    </w:p>
    <w:p w14:paraId="49D7175A" w14:textId="77777777" w:rsidR="007A3ABD" w:rsidRDefault="007A3ABD" w:rsidP="006E7AA3">
      <w:pPr>
        <w:spacing w:after="0"/>
        <w:ind w:left="-450"/>
      </w:pPr>
    </w:p>
    <w:p w14:paraId="45CDD577" w14:textId="3E9D144A" w:rsidR="0009718D" w:rsidRDefault="007425B7" w:rsidP="006E7AA3">
      <w:pPr>
        <w:spacing w:after="0"/>
        <w:ind w:left="-450"/>
      </w:pPr>
      <w:r>
        <w:t xml:space="preserve">As subgrantees transition into a new </w:t>
      </w:r>
      <w:r w:rsidR="00935AD3">
        <w:t>school year</w:t>
      </w:r>
      <w:r>
        <w:t xml:space="preserve">, under </w:t>
      </w:r>
      <w:r w:rsidR="0009718D">
        <w:t>new grant application</w:t>
      </w:r>
      <w:r w:rsidR="00E66DD6">
        <w:t>s</w:t>
      </w:r>
      <w:r w:rsidR="0009718D">
        <w:t xml:space="preserve">, it is helpful to align the services available in MSIN </w:t>
      </w:r>
      <w:r w:rsidR="00F35EFC">
        <w:t>—</w:t>
      </w:r>
      <w:r w:rsidR="0009718D">
        <w:t>by enabling and disabling</w:t>
      </w:r>
      <w:r w:rsidR="00F35EFC">
        <w:t>—</w:t>
      </w:r>
      <w:r w:rsidR="0009718D">
        <w:t xml:space="preserve"> to the services described in the application</w:t>
      </w:r>
      <w:r w:rsidR="00E66DD6">
        <w:t>s</w:t>
      </w:r>
      <w:r w:rsidR="0009718D">
        <w:t>. This ensures logical consistency between service planning and service report</w:t>
      </w:r>
      <w:r w:rsidR="00E66DD6">
        <w:t>ing</w:t>
      </w:r>
      <w:r w:rsidR="0009718D">
        <w:t>.</w:t>
      </w:r>
    </w:p>
    <w:p w14:paraId="1624AB90" w14:textId="77777777" w:rsidR="007A3ABD" w:rsidRDefault="007A3ABD" w:rsidP="006E7AA3">
      <w:pPr>
        <w:spacing w:after="0"/>
        <w:ind w:left="-450"/>
      </w:pPr>
    </w:p>
    <w:p w14:paraId="4002630C" w14:textId="080701C5" w:rsidR="0009718D" w:rsidRDefault="0009718D" w:rsidP="0009718D">
      <w:pPr>
        <w:pStyle w:val="Heading1"/>
        <w:spacing w:before="0"/>
        <w:ind w:left="-450"/>
      </w:pPr>
      <w:r>
        <w:t>Setting up New Services</w:t>
      </w:r>
      <w:r w:rsidR="00B77842">
        <w:t xml:space="preserve"> </w:t>
      </w:r>
      <w:r w:rsidR="00B77842" w:rsidRPr="00B77842">
        <w:rPr>
          <w:sz w:val="28"/>
          <w:szCs w:val="28"/>
        </w:rPr>
        <w:t>(Regional Administrators, Data Specialists)</w:t>
      </w:r>
    </w:p>
    <w:p w14:paraId="3CCF42A5" w14:textId="28817C90" w:rsidR="00440C12" w:rsidRDefault="00DA61AB" w:rsidP="0009718D">
      <w:pPr>
        <w:ind w:left="-450"/>
      </w:pPr>
      <w:r>
        <w:t xml:space="preserve">On occasion, you may need to create a new service that was approved on a Regional Application (RA), District Service Agreement (DSA), or Memorandum of Understanding (MOU). </w:t>
      </w:r>
      <w:r w:rsidR="00EC1525">
        <w:t xml:space="preserve">From the </w:t>
      </w:r>
      <w:r w:rsidRPr="00935AD3">
        <w:rPr>
          <w:rStyle w:val="Emphasis"/>
          <w:i w:val="0"/>
          <w:iCs w:val="0"/>
        </w:rPr>
        <w:t>Administer Services</w:t>
      </w:r>
      <w:r>
        <w:t xml:space="preserve"> </w:t>
      </w:r>
      <w:r w:rsidR="00935AD3">
        <w:t>page</w:t>
      </w:r>
      <w:r>
        <w:t xml:space="preserve">, </w:t>
      </w:r>
      <w:r w:rsidR="00753FC1">
        <w:t>click the</w:t>
      </w:r>
      <w:r>
        <w:t xml:space="preserve"> button labeled “Add New Service”</w:t>
      </w:r>
      <w:r w:rsidR="00D015F6">
        <w:t xml:space="preserve"> </w:t>
      </w:r>
      <w:r>
        <w:t xml:space="preserve">to bring up the </w:t>
      </w:r>
      <w:r w:rsidR="007A3ABD" w:rsidRPr="00935AD3">
        <w:rPr>
          <w:rStyle w:val="Emphasis"/>
          <w:i w:val="0"/>
          <w:iCs w:val="0"/>
        </w:rPr>
        <w:t>Creating Service</w:t>
      </w:r>
      <w:r w:rsidR="007A3ABD">
        <w:t xml:space="preserve"> window</w:t>
      </w:r>
      <w:r>
        <w:t>. The first item pre-populates with the subgrantee number based on</w:t>
      </w:r>
      <w:r w:rsidR="00EC1525">
        <w:t xml:space="preserve"> your </w:t>
      </w:r>
      <w:r>
        <w:t>account. Starting with item #2, click on the “i” next to each title to access instructions on how to complete the field</w:t>
      </w:r>
      <w:r w:rsidR="00A6634A">
        <w:t>. The screenshot below shows the Help Text instructions for the Service Description field</w:t>
      </w:r>
      <w:r w:rsidR="00753FC1">
        <w:t xml:space="preserve"> (</w:t>
      </w:r>
      <w:r w:rsidR="007A3ABD">
        <w:t xml:space="preserve">item </w:t>
      </w:r>
      <w:r w:rsidR="00753FC1">
        <w:t>#3)</w:t>
      </w:r>
      <w:r w:rsidR="00A6634A">
        <w:t>.</w:t>
      </w:r>
      <w:r>
        <w:t xml:space="preserve"> </w:t>
      </w:r>
    </w:p>
    <w:p w14:paraId="53F25863" w14:textId="5BF3C00E" w:rsidR="00E40088" w:rsidRDefault="00A6634A" w:rsidP="00E40088">
      <w:pPr>
        <w:spacing w:after="0"/>
        <w:ind w:left="-450"/>
      </w:pPr>
      <w:r>
        <w:rPr>
          <w:noProof/>
        </w:rPr>
        <w:drawing>
          <wp:inline distT="0" distB="0" distL="0" distR="0" wp14:anchorId="311BB1BA" wp14:editId="6A192609">
            <wp:extent cx="6432550" cy="4897012"/>
            <wp:effectExtent l="0" t="0" r="6350" b="0"/>
            <wp:docPr id="38" name="Picture 38" descr="Screenshot of the Creating Service window to show the set up options and supporting help text next to each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of the Creating Service window to show the set up options and supporting help text next to each op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51670" cy="4911568"/>
                    </a:xfrm>
                    <a:prstGeom prst="rect">
                      <a:avLst/>
                    </a:prstGeom>
                    <a:ln w="3175">
                      <a:noFill/>
                    </a:ln>
                  </pic:spPr>
                </pic:pic>
              </a:graphicData>
            </a:graphic>
          </wp:inline>
        </w:drawing>
      </w:r>
    </w:p>
    <w:p w14:paraId="14DDB1C6" w14:textId="17F9BA0C" w:rsidR="00DC7BE2" w:rsidRDefault="00DC7BE2" w:rsidP="00E40088">
      <w:pPr>
        <w:spacing w:after="0"/>
        <w:ind w:left="-450"/>
      </w:pPr>
    </w:p>
    <w:p w14:paraId="62630BEA" w14:textId="7A789A5C" w:rsidR="00DC7BE2" w:rsidRDefault="00270419" w:rsidP="00E40088">
      <w:pPr>
        <w:spacing w:after="0"/>
        <w:ind w:left="-450"/>
      </w:pPr>
      <w:r>
        <w:lastRenderedPageBreak/>
        <w:t xml:space="preserve">The Help Text contents for each field </w:t>
      </w:r>
      <w:r w:rsidR="00EC1525">
        <w:t xml:space="preserve">are </w:t>
      </w:r>
      <w:r w:rsidR="00753FC1">
        <w:t xml:space="preserve">summarized </w:t>
      </w:r>
      <w:r>
        <w:t>in the table below.</w:t>
      </w:r>
    </w:p>
    <w:p w14:paraId="4EE53424" w14:textId="77777777" w:rsidR="00270419" w:rsidRDefault="00270419" w:rsidP="00E40088">
      <w:pPr>
        <w:spacing w:after="0"/>
        <w:ind w:left="-450"/>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890"/>
        <w:gridCol w:w="7830"/>
      </w:tblGrid>
      <w:tr w:rsidR="00270419" w:rsidRPr="00970C72" w14:paraId="31A9004C" w14:textId="77777777" w:rsidTr="00270419">
        <w:trPr>
          <w:trHeight w:val="300"/>
          <w:tblHeader/>
        </w:trPr>
        <w:tc>
          <w:tcPr>
            <w:tcW w:w="1890" w:type="dxa"/>
            <w:shd w:val="clear" w:color="auto" w:fill="D9D9D9" w:themeFill="background1" w:themeFillShade="D9"/>
            <w:noWrap/>
          </w:tcPr>
          <w:p w14:paraId="5D1F3812" w14:textId="77777777" w:rsidR="00270419" w:rsidRPr="00970C72" w:rsidRDefault="00270419" w:rsidP="004121BE">
            <w:pPr>
              <w:spacing w:after="0" w:line="240" w:lineRule="auto"/>
              <w:rPr>
                <w:rFonts w:eastAsia="Times New Roman" w:cstheme="minorHAnsi"/>
                <w:b/>
                <w:bCs/>
                <w:sz w:val="20"/>
                <w:szCs w:val="20"/>
              </w:rPr>
            </w:pPr>
            <w:r w:rsidRPr="00970C72">
              <w:rPr>
                <w:rFonts w:eastAsia="Times New Roman" w:cstheme="minorHAnsi"/>
                <w:b/>
                <w:bCs/>
                <w:sz w:val="20"/>
                <w:szCs w:val="20"/>
              </w:rPr>
              <w:t>Field</w:t>
            </w:r>
          </w:p>
        </w:tc>
        <w:tc>
          <w:tcPr>
            <w:tcW w:w="7830" w:type="dxa"/>
            <w:shd w:val="clear" w:color="auto" w:fill="D9D9D9" w:themeFill="background1" w:themeFillShade="D9"/>
            <w:noWrap/>
          </w:tcPr>
          <w:p w14:paraId="11B6ECD9" w14:textId="61F93A8F" w:rsidR="00270419" w:rsidRPr="00970C72" w:rsidRDefault="00FF6926" w:rsidP="004121BE">
            <w:pPr>
              <w:spacing w:after="0" w:line="240" w:lineRule="auto"/>
              <w:rPr>
                <w:rFonts w:eastAsia="Times New Roman" w:cstheme="minorHAnsi"/>
                <w:b/>
                <w:bCs/>
                <w:sz w:val="20"/>
                <w:szCs w:val="20"/>
              </w:rPr>
            </w:pPr>
            <w:r>
              <w:rPr>
                <w:rFonts w:eastAsia="Times New Roman" w:cstheme="minorHAnsi"/>
                <w:b/>
                <w:bCs/>
                <w:sz w:val="20"/>
                <w:szCs w:val="20"/>
              </w:rPr>
              <w:t>Instructions</w:t>
            </w:r>
          </w:p>
        </w:tc>
      </w:tr>
      <w:tr w:rsidR="00270419" w:rsidRPr="00970C72" w14:paraId="6E26D995" w14:textId="77777777" w:rsidTr="00270419">
        <w:trPr>
          <w:trHeight w:val="300"/>
        </w:trPr>
        <w:tc>
          <w:tcPr>
            <w:tcW w:w="1890" w:type="dxa"/>
            <w:shd w:val="clear" w:color="auto" w:fill="auto"/>
            <w:noWrap/>
            <w:vAlign w:val="center"/>
            <w:hideMark/>
          </w:tcPr>
          <w:p w14:paraId="3B7D37AE" w14:textId="5F926682" w:rsidR="00270419" w:rsidRPr="00970C72" w:rsidRDefault="00270419" w:rsidP="004121BE">
            <w:pPr>
              <w:spacing w:after="0" w:line="240" w:lineRule="auto"/>
              <w:rPr>
                <w:rFonts w:eastAsia="Times New Roman" w:cstheme="minorHAnsi"/>
                <w:bCs/>
                <w:sz w:val="20"/>
                <w:szCs w:val="20"/>
              </w:rPr>
            </w:pPr>
            <w:r>
              <w:rPr>
                <w:rFonts w:eastAsia="Times New Roman" w:cstheme="minorHAnsi"/>
                <w:bCs/>
                <w:sz w:val="20"/>
                <w:szCs w:val="20"/>
              </w:rPr>
              <w:t>2. Service Name</w:t>
            </w:r>
          </w:p>
        </w:tc>
        <w:tc>
          <w:tcPr>
            <w:tcW w:w="7830" w:type="dxa"/>
            <w:shd w:val="clear" w:color="auto" w:fill="auto"/>
            <w:noWrap/>
            <w:vAlign w:val="center"/>
          </w:tcPr>
          <w:p w14:paraId="4DCDE068" w14:textId="4016BCC1" w:rsidR="00270419" w:rsidRPr="00970C72" w:rsidRDefault="00270419" w:rsidP="004121BE">
            <w:pPr>
              <w:spacing w:after="0" w:line="240" w:lineRule="auto"/>
              <w:rPr>
                <w:rFonts w:eastAsia="Times New Roman" w:cstheme="minorHAnsi"/>
                <w:bCs/>
                <w:sz w:val="20"/>
                <w:szCs w:val="20"/>
              </w:rPr>
            </w:pPr>
            <w:r w:rsidRPr="00270419">
              <w:rPr>
                <w:rFonts w:ascii="Calibri" w:hAnsi="Calibri"/>
                <w:sz w:val="20"/>
                <w:szCs w:val="20"/>
              </w:rPr>
              <w:t>Enter a brief, distinct, and descriptive name for the service. The CDE requires that local management teams enter the same service name in MSIN as they used in their applications (RA/DSAs/MOUs) to facilitate technical and programmatic assistance.</w:t>
            </w:r>
            <w:r w:rsidR="00CC4985">
              <w:rPr>
                <w:rFonts w:ascii="Calibri" w:hAnsi="Calibri"/>
                <w:sz w:val="20"/>
                <w:szCs w:val="20"/>
              </w:rPr>
              <w:t xml:space="preserve"> </w:t>
            </w:r>
            <w:r w:rsidR="00A51B5B">
              <w:rPr>
                <w:rFonts w:ascii="Calibri" w:hAnsi="Calibri"/>
                <w:sz w:val="20"/>
                <w:szCs w:val="20"/>
              </w:rPr>
              <w:t xml:space="preserve">Alternatively, subgrantees </w:t>
            </w:r>
            <w:r w:rsidR="00CC4985">
              <w:rPr>
                <w:rFonts w:ascii="Calibri" w:hAnsi="Calibri"/>
                <w:sz w:val="20"/>
                <w:szCs w:val="20"/>
              </w:rPr>
              <w:t>may set up service “buckets” to make service entry easier for reimbursable districts. For example, Saturday math services may be grouped together or after school math services may be grouped together. Services in a “bucket” must have the same SSDP Components (e.g., integrated ELD, cultural pride,</w:t>
            </w:r>
            <w:r w:rsidR="00C812E2">
              <w:rPr>
                <w:rFonts w:ascii="Calibri" w:hAnsi="Calibri"/>
                <w:sz w:val="20"/>
                <w:szCs w:val="20"/>
              </w:rPr>
              <w:t xml:space="preserve"> and/or self-pride).</w:t>
            </w:r>
            <w:r w:rsidR="00CC4985">
              <w:rPr>
                <w:rFonts w:ascii="Calibri" w:hAnsi="Calibri"/>
                <w:sz w:val="20"/>
                <w:szCs w:val="20"/>
              </w:rPr>
              <w:t xml:space="preserve"> In this case, please provide a general name that encompasses all services for that “bucket” (e.g., After School Math Service).</w:t>
            </w:r>
            <w:r w:rsidRPr="00270419">
              <w:rPr>
                <w:rFonts w:ascii="Calibri" w:hAnsi="Calibri"/>
                <w:sz w:val="20"/>
                <w:szCs w:val="20"/>
              </w:rPr>
              <w:t xml:space="preserve"> This field is limited to 100 characters including spaces.</w:t>
            </w:r>
          </w:p>
        </w:tc>
      </w:tr>
      <w:tr w:rsidR="00270419" w:rsidRPr="00970C72" w14:paraId="19D90C8C" w14:textId="77777777" w:rsidTr="00270419">
        <w:trPr>
          <w:trHeight w:val="300"/>
        </w:trPr>
        <w:tc>
          <w:tcPr>
            <w:tcW w:w="1890" w:type="dxa"/>
            <w:shd w:val="clear" w:color="auto" w:fill="auto"/>
            <w:noWrap/>
            <w:vAlign w:val="center"/>
            <w:hideMark/>
          </w:tcPr>
          <w:p w14:paraId="6376273B" w14:textId="24C0490D" w:rsidR="00270419" w:rsidRPr="00970C72" w:rsidRDefault="00270419" w:rsidP="004121BE">
            <w:pPr>
              <w:spacing w:after="0" w:line="240" w:lineRule="auto"/>
              <w:rPr>
                <w:rFonts w:eastAsia="Times New Roman" w:cstheme="minorHAnsi"/>
                <w:bCs/>
                <w:sz w:val="20"/>
                <w:szCs w:val="20"/>
              </w:rPr>
            </w:pPr>
            <w:r>
              <w:rPr>
                <w:rFonts w:eastAsia="Times New Roman" w:cstheme="minorHAnsi"/>
                <w:bCs/>
                <w:sz w:val="20"/>
                <w:szCs w:val="20"/>
              </w:rPr>
              <w:t>3. Service Description</w:t>
            </w:r>
          </w:p>
        </w:tc>
        <w:tc>
          <w:tcPr>
            <w:tcW w:w="7830" w:type="dxa"/>
            <w:shd w:val="clear" w:color="auto" w:fill="auto"/>
            <w:noWrap/>
            <w:vAlign w:val="center"/>
          </w:tcPr>
          <w:p w14:paraId="46CBF73F" w14:textId="0F5A6A65" w:rsidR="00270419" w:rsidRPr="00970C72" w:rsidRDefault="00270419" w:rsidP="004121BE">
            <w:pPr>
              <w:spacing w:after="0" w:line="240" w:lineRule="auto"/>
              <w:rPr>
                <w:rFonts w:eastAsia="Times New Roman" w:cstheme="minorHAnsi"/>
                <w:bCs/>
                <w:sz w:val="20"/>
                <w:szCs w:val="20"/>
              </w:rPr>
            </w:pPr>
            <w:r w:rsidRPr="00270419">
              <w:rPr>
                <w:rFonts w:ascii="Calibri" w:hAnsi="Calibri"/>
                <w:sz w:val="20"/>
                <w:szCs w:val="20"/>
              </w:rPr>
              <w:t xml:space="preserve">Enter a concise description of the service, preferably copied from the grant application (RA/DSAs/MOUs). The description may include the population to be served, the proposed schedule (minutes per day, days per week and number of weeks), and the term (regular school year, summer, or intersession). </w:t>
            </w:r>
            <w:r w:rsidR="00CC4985">
              <w:rPr>
                <w:rFonts w:ascii="Calibri" w:hAnsi="Calibri"/>
                <w:sz w:val="20"/>
                <w:szCs w:val="20"/>
              </w:rPr>
              <w:t>For regions setting up service “buckets,” please provide a general description that covers all the services.</w:t>
            </w:r>
            <w:r w:rsidR="00C812E2">
              <w:rPr>
                <w:rFonts w:ascii="Calibri" w:hAnsi="Calibri"/>
                <w:sz w:val="20"/>
                <w:szCs w:val="20"/>
              </w:rPr>
              <w:t xml:space="preserve"> Services in a “bucket” must have the same SSDP Components (e.g., integrated ELD, cultural pride, and/or self-pride).</w:t>
            </w:r>
            <w:r w:rsidR="00CC4985">
              <w:rPr>
                <w:rFonts w:ascii="Calibri" w:hAnsi="Calibri"/>
                <w:sz w:val="20"/>
                <w:szCs w:val="20"/>
              </w:rPr>
              <w:t xml:space="preserve"> </w:t>
            </w:r>
            <w:r w:rsidRPr="00270419">
              <w:rPr>
                <w:rFonts w:ascii="Calibri" w:hAnsi="Calibri"/>
                <w:sz w:val="20"/>
                <w:szCs w:val="20"/>
              </w:rPr>
              <w:t>This field is limited to 8,000 characters.</w:t>
            </w:r>
          </w:p>
        </w:tc>
      </w:tr>
      <w:tr w:rsidR="00270419" w14:paraId="00522AB0" w14:textId="77777777" w:rsidTr="00270419">
        <w:trPr>
          <w:trHeight w:val="300"/>
        </w:trPr>
        <w:tc>
          <w:tcPr>
            <w:tcW w:w="1890" w:type="dxa"/>
            <w:shd w:val="clear" w:color="auto" w:fill="auto"/>
            <w:noWrap/>
            <w:vAlign w:val="center"/>
          </w:tcPr>
          <w:p w14:paraId="36C31679" w14:textId="128AD036" w:rsidR="00270419" w:rsidRPr="00970C72" w:rsidRDefault="00270419" w:rsidP="004121BE">
            <w:pPr>
              <w:spacing w:after="0" w:line="240" w:lineRule="auto"/>
              <w:rPr>
                <w:rFonts w:eastAsia="Times New Roman" w:cstheme="minorHAnsi"/>
                <w:bCs/>
                <w:sz w:val="20"/>
                <w:szCs w:val="20"/>
              </w:rPr>
            </w:pPr>
            <w:r>
              <w:rPr>
                <w:rFonts w:eastAsia="Times New Roman" w:cstheme="minorHAnsi"/>
                <w:bCs/>
                <w:sz w:val="20"/>
                <w:szCs w:val="20"/>
              </w:rPr>
              <w:t>4. Local Code Number</w:t>
            </w:r>
          </w:p>
        </w:tc>
        <w:tc>
          <w:tcPr>
            <w:tcW w:w="7830" w:type="dxa"/>
            <w:shd w:val="clear" w:color="auto" w:fill="auto"/>
            <w:noWrap/>
            <w:vAlign w:val="center"/>
          </w:tcPr>
          <w:p w14:paraId="754201F6" w14:textId="32178DF8" w:rsidR="00E873D0" w:rsidRPr="00E873D0" w:rsidRDefault="00270419" w:rsidP="004121BE">
            <w:pPr>
              <w:spacing w:after="0" w:line="240" w:lineRule="auto"/>
              <w:rPr>
                <w:rFonts w:ascii="Calibri" w:hAnsi="Calibri"/>
                <w:sz w:val="20"/>
                <w:szCs w:val="20"/>
              </w:rPr>
            </w:pPr>
            <w:r w:rsidRPr="00270419">
              <w:rPr>
                <w:rFonts w:ascii="Calibri" w:hAnsi="Calibri"/>
                <w:sz w:val="20"/>
                <w:szCs w:val="20"/>
              </w:rPr>
              <w:t>Enter a unique code number for the service for the region/direct</w:t>
            </w:r>
            <w:r w:rsidR="00753FC1">
              <w:rPr>
                <w:rFonts w:ascii="Calibri" w:hAnsi="Calibri"/>
                <w:sz w:val="20"/>
                <w:szCs w:val="20"/>
              </w:rPr>
              <w:t>-</w:t>
            </w:r>
            <w:r w:rsidRPr="00270419">
              <w:rPr>
                <w:rFonts w:ascii="Calibri" w:hAnsi="Calibri"/>
                <w:sz w:val="20"/>
                <w:szCs w:val="20"/>
              </w:rPr>
              <w:t>funded district. The number must be unique</w:t>
            </w:r>
            <w:r w:rsidR="00E873D0">
              <w:rPr>
                <w:rFonts w:ascii="Calibri" w:hAnsi="Calibri"/>
                <w:sz w:val="20"/>
                <w:szCs w:val="20"/>
              </w:rPr>
              <w:t xml:space="preserve"> </w:t>
            </w:r>
            <w:bookmarkStart w:id="1" w:name="_Hlk11163230"/>
            <w:r w:rsidR="00E873D0">
              <w:rPr>
                <w:rFonts w:ascii="Calibri" w:hAnsi="Calibri"/>
                <w:sz w:val="20"/>
                <w:szCs w:val="20"/>
              </w:rPr>
              <w:t>(i.e., not currently in use or used in the past)</w:t>
            </w:r>
            <w:bookmarkEnd w:id="1"/>
            <w:r w:rsidRPr="00270419">
              <w:rPr>
                <w:rFonts w:ascii="Calibri" w:hAnsi="Calibri"/>
                <w:sz w:val="20"/>
                <w:szCs w:val="20"/>
              </w:rPr>
              <w:t xml:space="preserve"> and between 1 and 9,999.  The existing </w:t>
            </w:r>
            <w:r w:rsidR="00B5449A" w:rsidRPr="00270419">
              <w:rPr>
                <w:rFonts w:ascii="Calibri" w:hAnsi="Calibri"/>
                <w:sz w:val="20"/>
                <w:szCs w:val="20"/>
              </w:rPr>
              <w:t>Health Code numbers (900 range), SSDP numbers (1000 range),</w:t>
            </w:r>
            <w:r w:rsidR="00B5449A">
              <w:rPr>
                <w:rFonts w:ascii="Calibri" w:hAnsi="Calibri"/>
                <w:sz w:val="20"/>
                <w:szCs w:val="20"/>
              </w:rPr>
              <w:t xml:space="preserve"> Mini-Corps numbers (2000 range), </w:t>
            </w:r>
            <w:r w:rsidR="00B5449A" w:rsidRPr="00270419">
              <w:rPr>
                <w:rFonts w:ascii="Calibri" w:hAnsi="Calibri"/>
                <w:sz w:val="20"/>
                <w:szCs w:val="20"/>
              </w:rPr>
              <w:t xml:space="preserve">Credit Accrual numbers (3000 range), and SSDP OSY </w:t>
            </w:r>
            <w:r w:rsidR="00B5449A">
              <w:rPr>
                <w:rFonts w:ascii="Calibri" w:hAnsi="Calibri"/>
                <w:sz w:val="20"/>
                <w:szCs w:val="20"/>
              </w:rPr>
              <w:t xml:space="preserve">numbers </w:t>
            </w:r>
            <w:r w:rsidR="00B5449A" w:rsidRPr="00270419">
              <w:rPr>
                <w:rFonts w:ascii="Calibri" w:hAnsi="Calibri"/>
                <w:sz w:val="20"/>
                <w:szCs w:val="20"/>
              </w:rPr>
              <w:t>(4000 range)</w:t>
            </w:r>
            <w:r w:rsidRPr="00270419">
              <w:rPr>
                <w:rFonts w:ascii="Calibri" w:hAnsi="Calibri"/>
                <w:sz w:val="20"/>
                <w:szCs w:val="20"/>
              </w:rPr>
              <w:t xml:space="preserve"> cannot be overwritten.</w:t>
            </w:r>
          </w:p>
        </w:tc>
      </w:tr>
      <w:tr w:rsidR="00270419" w:rsidRPr="00970C72" w14:paraId="66F47DBD" w14:textId="77777777" w:rsidTr="00270419">
        <w:trPr>
          <w:trHeight w:val="300"/>
        </w:trPr>
        <w:tc>
          <w:tcPr>
            <w:tcW w:w="1890" w:type="dxa"/>
            <w:shd w:val="clear" w:color="auto" w:fill="auto"/>
            <w:noWrap/>
            <w:vAlign w:val="center"/>
            <w:hideMark/>
          </w:tcPr>
          <w:p w14:paraId="6B3C6033" w14:textId="26C24A64" w:rsidR="00270419" w:rsidRPr="00970C72" w:rsidRDefault="00270419" w:rsidP="004121BE">
            <w:pPr>
              <w:spacing w:after="0" w:line="240" w:lineRule="auto"/>
              <w:rPr>
                <w:rFonts w:eastAsia="Times New Roman" w:cstheme="minorHAnsi"/>
                <w:bCs/>
                <w:sz w:val="20"/>
                <w:szCs w:val="20"/>
              </w:rPr>
            </w:pPr>
            <w:r>
              <w:rPr>
                <w:rFonts w:eastAsia="Times New Roman" w:cstheme="minorHAnsi"/>
                <w:bCs/>
                <w:sz w:val="20"/>
                <w:szCs w:val="20"/>
              </w:rPr>
              <w:t>5. State Service Code</w:t>
            </w:r>
          </w:p>
        </w:tc>
        <w:tc>
          <w:tcPr>
            <w:tcW w:w="7830" w:type="dxa"/>
            <w:shd w:val="clear" w:color="auto" w:fill="auto"/>
            <w:noWrap/>
            <w:vAlign w:val="center"/>
          </w:tcPr>
          <w:p w14:paraId="1DC06D35" w14:textId="2EC0601E" w:rsidR="00D262D1" w:rsidRPr="00D262D1" w:rsidRDefault="00D262D1" w:rsidP="00270419">
            <w:pPr>
              <w:spacing w:after="0" w:line="240" w:lineRule="auto"/>
              <w:rPr>
                <w:rFonts w:ascii="Calibri" w:hAnsi="Calibri"/>
                <w:b/>
                <w:bCs/>
                <w:sz w:val="20"/>
                <w:szCs w:val="20"/>
              </w:rPr>
            </w:pPr>
            <w:r w:rsidRPr="00D262D1">
              <w:rPr>
                <w:rFonts w:ascii="Calibri" w:hAnsi="Calibri"/>
                <w:b/>
                <w:bCs/>
                <w:sz w:val="20"/>
                <w:szCs w:val="20"/>
              </w:rPr>
              <w:t>-Optional Field-</w:t>
            </w:r>
          </w:p>
          <w:p w14:paraId="36EF2541" w14:textId="7BD03D24" w:rsidR="00270419" w:rsidRPr="00270419" w:rsidRDefault="00270419" w:rsidP="00B5449A">
            <w:pPr>
              <w:spacing w:line="240" w:lineRule="auto"/>
              <w:rPr>
                <w:rFonts w:ascii="Calibri" w:hAnsi="Calibri"/>
                <w:sz w:val="20"/>
                <w:szCs w:val="20"/>
              </w:rPr>
            </w:pPr>
            <w:r w:rsidRPr="00270419">
              <w:rPr>
                <w:rFonts w:ascii="Calibri" w:hAnsi="Calibri"/>
                <w:sz w:val="20"/>
                <w:szCs w:val="20"/>
              </w:rPr>
              <w:t xml:space="preserve">These are pre-set service codes that the State has developed. Subgrantees can use these pre-set codes if they have local services that align with the State Service Code definitions. The State Service Codes include the Health Code numbers (900 range), </w:t>
            </w:r>
            <w:r w:rsidR="004B2C56" w:rsidRPr="00270419">
              <w:rPr>
                <w:rFonts w:ascii="Calibri" w:hAnsi="Calibri"/>
                <w:sz w:val="20"/>
                <w:szCs w:val="20"/>
              </w:rPr>
              <w:t>SSDP numbers (1000 range),</w:t>
            </w:r>
            <w:r w:rsidR="004B2C56">
              <w:rPr>
                <w:rFonts w:ascii="Calibri" w:hAnsi="Calibri"/>
                <w:sz w:val="20"/>
                <w:szCs w:val="20"/>
              </w:rPr>
              <w:t xml:space="preserve"> Mini-Corps numbers (2000 range), </w:t>
            </w:r>
            <w:r w:rsidRPr="00270419">
              <w:rPr>
                <w:rFonts w:ascii="Calibri" w:hAnsi="Calibri"/>
                <w:sz w:val="20"/>
                <w:szCs w:val="20"/>
              </w:rPr>
              <w:t xml:space="preserve">Credit Accrual numbers (3000 range), and SSDP OSY </w:t>
            </w:r>
            <w:r w:rsidR="0042659F">
              <w:rPr>
                <w:rFonts w:ascii="Calibri" w:hAnsi="Calibri"/>
                <w:sz w:val="20"/>
                <w:szCs w:val="20"/>
              </w:rPr>
              <w:t xml:space="preserve">numbers </w:t>
            </w:r>
            <w:r w:rsidRPr="00270419">
              <w:rPr>
                <w:rFonts w:ascii="Calibri" w:hAnsi="Calibri"/>
                <w:sz w:val="20"/>
                <w:szCs w:val="20"/>
              </w:rPr>
              <w:t>(4000 range).</w:t>
            </w:r>
          </w:p>
          <w:p w14:paraId="14E3DD92" w14:textId="4D7C64D1" w:rsidR="00270419" w:rsidRPr="00270419" w:rsidRDefault="00270419" w:rsidP="00270419">
            <w:pPr>
              <w:spacing w:after="0" w:line="240" w:lineRule="auto"/>
              <w:rPr>
                <w:rFonts w:ascii="Calibri" w:hAnsi="Calibri"/>
                <w:sz w:val="20"/>
                <w:szCs w:val="20"/>
              </w:rPr>
            </w:pPr>
            <w:r w:rsidRPr="00270419">
              <w:rPr>
                <w:rFonts w:ascii="Calibri" w:hAnsi="Calibri"/>
                <w:sz w:val="20"/>
                <w:szCs w:val="20"/>
              </w:rPr>
              <w:t>After you select one of the State Service Codes listed above, most remaining options on this set-up screen will automatically populate</w:t>
            </w:r>
            <w:r w:rsidR="009E12DF">
              <w:rPr>
                <w:rFonts w:ascii="Calibri" w:hAnsi="Calibri"/>
                <w:sz w:val="20"/>
                <w:szCs w:val="20"/>
              </w:rPr>
              <w:t>, including Measurable Program Objective</w:t>
            </w:r>
            <w:r w:rsidRPr="00270419">
              <w:rPr>
                <w:rFonts w:ascii="Calibri" w:hAnsi="Calibri"/>
                <w:sz w:val="20"/>
                <w:szCs w:val="20"/>
              </w:rPr>
              <w:t xml:space="preserve">. </w:t>
            </w:r>
            <w:r w:rsidR="00B5449A">
              <w:rPr>
                <w:rFonts w:ascii="Calibri" w:hAnsi="Calibri"/>
                <w:sz w:val="20"/>
                <w:szCs w:val="20"/>
              </w:rPr>
              <w:t>T</w:t>
            </w:r>
            <w:r w:rsidRPr="00270419">
              <w:rPr>
                <w:rFonts w:ascii="Calibri" w:hAnsi="Calibri"/>
                <w:sz w:val="20"/>
                <w:szCs w:val="20"/>
              </w:rPr>
              <w:t>wo options can be edited after your State Service Code selection are:</w:t>
            </w:r>
          </w:p>
          <w:p w14:paraId="04B7DE7E" w14:textId="017FC1D2" w:rsidR="00270419" w:rsidRPr="00270419" w:rsidRDefault="00270419" w:rsidP="00270419">
            <w:pPr>
              <w:spacing w:after="0" w:line="240" w:lineRule="auto"/>
              <w:rPr>
                <w:rFonts w:ascii="Calibri" w:hAnsi="Calibri"/>
                <w:sz w:val="20"/>
                <w:szCs w:val="20"/>
              </w:rPr>
            </w:pPr>
            <w:r w:rsidRPr="00270419">
              <w:rPr>
                <w:rFonts w:ascii="Calibri" w:hAnsi="Calibri"/>
                <w:sz w:val="20"/>
                <w:szCs w:val="20"/>
              </w:rPr>
              <w:t>•</w:t>
            </w:r>
            <w:r>
              <w:rPr>
                <w:rFonts w:ascii="Calibri" w:hAnsi="Calibri"/>
                <w:sz w:val="20"/>
                <w:szCs w:val="20"/>
              </w:rPr>
              <w:t xml:space="preserve"> </w:t>
            </w:r>
            <w:r w:rsidRPr="00270419">
              <w:rPr>
                <w:rFonts w:ascii="Calibri" w:hAnsi="Calibri"/>
                <w:sz w:val="20"/>
                <w:szCs w:val="20"/>
              </w:rPr>
              <w:t>SSDP Component (you may select applicable check boxes), and</w:t>
            </w:r>
          </w:p>
          <w:p w14:paraId="06438290" w14:textId="032A5DFF" w:rsidR="00270419" w:rsidRPr="00970C72" w:rsidRDefault="00270419" w:rsidP="00270419">
            <w:pPr>
              <w:spacing w:after="0" w:line="240" w:lineRule="auto"/>
              <w:rPr>
                <w:rFonts w:eastAsia="Times New Roman" w:cstheme="minorHAnsi"/>
                <w:bCs/>
                <w:sz w:val="20"/>
                <w:szCs w:val="20"/>
              </w:rPr>
            </w:pPr>
            <w:r w:rsidRPr="00270419">
              <w:rPr>
                <w:rFonts w:ascii="Calibri" w:hAnsi="Calibri"/>
                <w:sz w:val="20"/>
                <w:szCs w:val="20"/>
              </w:rPr>
              <w:t>•</w:t>
            </w:r>
            <w:r>
              <w:rPr>
                <w:rFonts w:ascii="Calibri" w:hAnsi="Calibri"/>
                <w:sz w:val="20"/>
                <w:szCs w:val="20"/>
              </w:rPr>
              <w:t xml:space="preserve"> </w:t>
            </w:r>
            <w:r w:rsidRPr="00270419">
              <w:rPr>
                <w:rFonts w:ascii="Calibri" w:hAnsi="Calibri"/>
                <w:sz w:val="20"/>
                <w:szCs w:val="20"/>
              </w:rPr>
              <w:t>Service Status (Active/Inactive).</w:t>
            </w:r>
          </w:p>
        </w:tc>
      </w:tr>
      <w:tr w:rsidR="00270419" w:rsidRPr="00970C72" w14:paraId="1DBEA999" w14:textId="77777777" w:rsidTr="00270419">
        <w:trPr>
          <w:trHeight w:val="300"/>
        </w:trPr>
        <w:tc>
          <w:tcPr>
            <w:tcW w:w="1890" w:type="dxa"/>
            <w:shd w:val="clear" w:color="auto" w:fill="auto"/>
            <w:noWrap/>
            <w:vAlign w:val="center"/>
            <w:hideMark/>
          </w:tcPr>
          <w:p w14:paraId="4C88BB0A" w14:textId="3ED7929C" w:rsidR="00270419" w:rsidRPr="00970C72" w:rsidRDefault="00270419" w:rsidP="004121BE">
            <w:pPr>
              <w:spacing w:after="0" w:line="240" w:lineRule="auto"/>
              <w:rPr>
                <w:rFonts w:eastAsia="Times New Roman" w:cstheme="minorHAnsi"/>
                <w:bCs/>
                <w:sz w:val="20"/>
                <w:szCs w:val="20"/>
              </w:rPr>
            </w:pPr>
            <w:r>
              <w:rPr>
                <w:rFonts w:eastAsia="Times New Roman" w:cstheme="minorHAnsi"/>
                <w:bCs/>
                <w:sz w:val="20"/>
                <w:szCs w:val="20"/>
              </w:rPr>
              <w:t>6. Measurable Program Objective</w:t>
            </w:r>
          </w:p>
        </w:tc>
        <w:tc>
          <w:tcPr>
            <w:tcW w:w="7830" w:type="dxa"/>
            <w:shd w:val="clear" w:color="auto" w:fill="auto"/>
            <w:noWrap/>
            <w:vAlign w:val="center"/>
          </w:tcPr>
          <w:p w14:paraId="201F7248" w14:textId="77777777" w:rsidR="00D262D1" w:rsidRPr="00D262D1" w:rsidRDefault="00D262D1" w:rsidP="00D262D1">
            <w:pPr>
              <w:spacing w:after="0" w:line="240" w:lineRule="auto"/>
              <w:rPr>
                <w:rFonts w:ascii="Calibri" w:hAnsi="Calibri"/>
                <w:b/>
                <w:bCs/>
                <w:sz w:val="20"/>
                <w:szCs w:val="20"/>
              </w:rPr>
            </w:pPr>
            <w:r w:rsidRPr="00D262D1">
              <w:rPr>
                <w:rFonts w:ascii="Calibri" w:hAnsi="Calibri"/>
                <w:b/>
                <w:bCs/>
                <w:sz w:val="20"/>
                <w:szCs w:val="20"/>
              </w:rPr>
              <w:t>-Optional Field-</w:t>
            </w:r>
          </w:p>
          <w:p w14:paraId="18ABDA73" w14:textId="0B10F84E" w:rsidR="00FF6926" w:rsidRPr="00FF6926" w:rsidRDefault="00FF6926" w:rsidP="00B5449A">
            <w:pPr>
              <w:spacing w:line="240" w:lineRule="auto"/>
              <w:rPr>
                <w:rFonts w:ascii="Calibri" w:hAnsi="Calibri"/>
                <w:sz w:val="20"/>
                <w:szCs w:val="20"/>
              </w:rPr>
            </w:pPr>
            <w:r w:rsidRPr="00FF6926">
              <w:rPr>
                <w:rFonts w:ascii="Calibri" w:hAnsi="Calibri"/>
                <w:sz w:val="20"/>
                <w:szCs w:val="20"/>
              </w:rPr>
              <w:t xml:space="preserve">The </w:t>
            </w:r>
            <w:r w:rsidR="00C812E2">
              <w:rPr>
                <w:rFonts w:ascii="Calibri" w:hAnsi="Calibri"/>
                <w:sz w:val="20"/>
                <w:szCs w:val="20"/>
              </w:rPr>
              <w:t>SSDP</w:t>
            </w:r>
            <w:r w:rsidRPr="00FF6926">
              <w:rPr>
                <w:rFonts w:ascii="Calibri" w:hAnsi="Calibri"/>
                <w:sz w:val="20"/>
                <w:szCs w:val="20"/>
              </w:rPr>
              <w:t xml:space="preserve"> has specific </w:t>
            </w:r>
            <w:r w:rsidR="00C812E2">
              <w:rPr>
                <w:rFonts w:ascii="Calibri" w:hAnsi="Calibri"/>
                <w:sz w:val="20"/>
                <w:szCs w:val="20"/>
              </w:rPr>
              <w:t xml:space="preserve">implementation </w:t>
            </w:r>
            <w:r w:rsidRPr="00FF6926">
              <w:rPr>
                <w:rFonts w:ascii="Calibri" w:hAnsi="Calibri"/>
                <w:sz w:val="20"/>
                <w:szCs w:val="20"/>
              </w:rPr>
              <w:t>goals for different program areas called Measurable Program Objectives (MPO</w:t>
            </w:r>
            <w:r w:rsidR="00C812E2">
              <w:rPr>
                <w:rFonts w:ascii="Calibri" w:hAnsi="Calibri"/>
                <w:sz w:val="20"/>
                <w:szCs w:val="20"/>
              </w:rPr>
              <w:t>s</w:t>
            </w:r>
            <w:r w:rsidRPr="00FF6926">
              <w:rPr>
                <w:rFonts w:ascii="Calibri" w:hAnsi="Calibri"/>
                <w:sz w:val="20"/>
                <w:szCs w:val="20"/>
              </w:rPr>
              <w:t>). Using MSIN, the State can collect service data to measure progress toward meeting some MPOs.</w:t>
            </w:r>
          </w:p>
          <w:p w14:paraId="0C40C125" w14:textId="181F1371" w:rsidR="009E12DF" w:rsidRPr="00B5449A" w:rsidRDefault="00036DFA" w:rsidP="00B5449A">
            <w:pPr>
              <w:spacing w:line="240" w:lineRule="auto"/>
              <w:rPr>
                <w:rFonts w:ascii="Calibri" w:hAnsi="Calibri"/>
                <w:sz w:val="20"/>
                <w:szCs w:val="20"/>
              </w:rPr>
            </w:pPr>
            <w:r>
              <w:rPr>
                <w:rFonts w:ascii="Calibri" w:hAnsi="Calibri"/>
                <w:sz w:val="20"/>
                <w:szCs w:val="20"/>
              </w:rPr>
              <w:t xml:space="preserve">This </w:t>
            </w:r>
            <w:r w:rsidR="00FF6926" w:rsidRPr="00FF6926">
              <w:rPr>
                <w:rFonts w:ascii="Calibri" w:hAnsi="Calibri"/>
                <w:sz w:val="20"/>
                <w:szCs w:val="20"/>
              </w:rPr>
              <w:t xml:space="preserve">drop-down menu </w:t>
            </w:r>
            <w:r>
              <w:rPr>
                <w:rFonts w:ascii="Calibri" w:hAnsi="Calibri"/>
                <w:sz w:val="20"/>
                <w:szCs w:val="20"/>
              </w:rPr>
              <w:t xml:space="preserve">is only editable when </w:t>
            </w:r>
            <w:r w:rsidR="00D21BE8">
              <w:rPr>
                <w:rFonts w:ascii="Calibri" w:hAnsi="Calibri"/>
                <w:sz w:val="20"/>
                <w:szCs w:val="20"/>
              </w:rPr>
              <w:t xml:space="preserve">the previous </w:t>
            </w:r>
            <w:r w:rsidR="002239A8">
              <w:rPr>
                <w:rFonts w:ascii="Calibri" w:hAnsi="Calibri"/>
                <w:sz w:val="20"/>
                <w:szCs w:val="20"/>
              </w:rPr>
              <w:t>field</w:t>
            </w:r>
            <w:r w:rsidR="00D21BE8">
              <w:rPr>
                <w:rFonts w:ascii="Calibri" w:hAnsi="Calibri"/>
                <w:sz w:val="20"/>
                <w:szCs w:val="20"/>
              </w:rPr>
              <w:t xml:space="preserve">, </w:t>
            </w:r>
            <w:r>
              <w:rPr>
                <w:rFonts w:ascii="Calibri" w:hAnsi="Calibri"/>
                <w:sz w:val="20"/>
                <w:szCs w:val="20"/>
              </w:rPr>
              <w:t>State Service Code (#5)</w:t>
            </w:r>
            <w:r w:rsidR="00D21BE8">
              <w:rPr>
                <w:rFonts w:ascii="Calibri" w:hAnsi="Calibri"/>
                <w:sz w:val="20"/>
                <w:szCs w:val="20"/>
              </w:rPr>
              <w:t>,</w:t>
            </w:r>
            <w:r>
              <w:rPr>
                <w:rFonts w:ascii="Calibri" w:hAnsi="Calibri"/>
                <w:sz w:val="20"/>
                <w:szCs w:val="20"/>
              </w:rPr>
              <w:t xml:space="preserve"> was </w:t>
            </w:r>
            <w:r w:rsidR="00D21BE8">
              <w:rPr>
                <w:rFonts w:ascii="Calibri" w:hAnsi="Calibri"/>
                <w:sz w:val="20"/>
                <w:szCs w:val="20"/>
              </w:rPr>
              <w:t xml:space="preserve">skipped (i.e., </w:t>
            </w:r>
            <w:r>
              <w:rPr>
                <w:rFonts w:ascii="Calibri" w:hAnsi="Calibri"/>
                <w:sz w:val="20"/>
                <w:szCs w:val="20"/>
              </w:rPr>
              <w:t>no</w:t>
            </w:r>
            <w:r w:rsidR="002239A8">
              <w:rPr>
                <w:rFonts w:ascii="Calibri" w:hAnsi="Calibri"/>
                <w:sz w:val="20"/>
                <w:szCs w:val="20"/>
              </w:rPr>
              <w:t xml:space="preserve"> </w:t>
            </w:r>
            <w:r>
              <w:rPr>
                <w:rFonts w:ascii="Calibri" w:hAnsi="Calibri"/>
                <w:sz w:val="20"/>
                <w:szCs w:val="20"/>
              </w:rPr>
              <w:t>select</w:t>
            </w:r>
            <w:r w:rsidR="002239A8">
              <w:rPr>
                <w:rFonts w:ascii="Calibri" w:hAnsi="Calibri"/>
                <w:sz w:val="20"/>
                <w:szCs w:val="20"/>
              </w:rPr>
              <w:t>ion</w:t>
            </w:r>
            <w:r w:rsidR="00D21BE8">
              <w:rPr>
                <w:rFonts w:ascii="Calibri" w:hAnsi="Calibri"/>
                <w:sz w:val="20"/>
                <w:szCs w:val="20"/>
              </w:rPr>
              <w:t>)</w:t>
            </w:r>
            <w:r>
              <w:rPr>
                <w:rFonts w:ascii="Calibri" w:hAnsi="Calibri"/>
                <w:sz w:val="20"/>
                <w:szCs w:val="20"/>
              </w:rPr>
              <w:t xml:space="preserve">. </w:t>
            </w:r>
            <w:r w:rsidR="002239A8">
              <w:rPr>
                <w:rFonts w:ascii="Calibri" w:hAnsi="Calibri"/>
                <w:sz w:val="20"/>
                <w:szCs w:val="20"/>
              </w:rPr>
              <w:t xml:space="preserve">You may </w:t>
            </w:r>
            <w:r w:rsidR="00FF6926" w:rsidRPr="00FF6926">
              <w:rPr>
                <w:rFonts w:ascii="Calibri" w:hAnsi="Calibri"/>
                <w:sz w:val="20"/>
                <w:szCs w:val="20"/>
              </w:rPr>
              <w:t xml:space="preserve">select an MPO if your service aligns with the definition of that MPO. </w:t>
            </w:r>
            <w:r w:rsidR="00A97DF9">
              <w:rPr>
                <w:rFonts w:ascii="Calibri" w:hAnsi="Calibri"/>
                <w:sz w:val="20"/>
                <w:szCs w:val="20"/>
              </w:rPr>
              <w:t>Mo</w:t>
            </w:r>
            <w:r w:rsidR="00FF6926" w:rsidRPr="00FF6926">
              <w:rPr>
                <w:rFonts w:ascii="Calibri" w:hAnsi="Calibri"/>
                <w:sz w:val="20"/>
                <w:szCs w:val="20"/>
              </w:rPr>
              <w:t>st remaining options on this set-up screen will automatically populate. The exceptions are SSDP Component (which you may select, if applicable) and Service Status (Active/Inactive).</w:t>
            </w:r>
          </w:p>
          <w:p w14:paraId="347C4061" w14:textId="7ACD34EA" w:rsidR="009E12DF" w:rsidRPr="00970C72" w:rsidRDefault="009E12DF" w:rsidP="00FF6926">
            <w:pPr>
              <w:spacing w:after="0" w:line="240" w:lineRule="auto"/>
              <w:rPr>
                <w:rFonts w:eastAsia="Times New Roman" w:cstheme="minorHAnsi"/>
                <w:bCs/>
                <w:sz w:val="20"/>
                <w:szCs w:val="20"/>
              </w:rPr>
            </w:pPr>
            <w:r>
              <w:rPr>
                <w:rFonts w:ascii="Calibri" w:eastAsia="Times New Roman" w:hAnsi="Calibri" w:cstheme="minorHAnsi"/>
                <w:bCs/>
                <w:sz w:val="20"/>
                <w:szCs w:val="20"/>
              </w:rPr>
              <w:t>Note: If a State Service Code was selected in field 5, the applicable MPO will automatically populate and it will have a shaded appearance</w:t>
            </w:r>
            <w:r w:rsidR="00A97DF9">
              <w:rPr>
                <w:rFonts w:ascii="Calibri" w:eastAsia="Times New Roman" w:hAnsi="Calibri" w:cstheme="minorHAnsi"/>
                <w:bCs/>
                <w:sz w:val="20"/>
                <w:szCs w:val="20"/>
              </w:rPr>
              <w:t xml:space="preserve"> (i.e., not editable)</w:t>
            </w:r>
            <w:r>
              <w:rPr>
                <w:rFonts w:ascii="Calibri" w:eastAsia="Times New Roman" w:hAnsi="Calibri" w:cstheme="minorHAnsi"/>
                <w:bCs/>
                <w:sz w:val="20"/>
                <w:szCs w:val="20"/>
              </w:rPr>
              <w:t>.</w:t>
            </w:r>
          </w:p>
        </w:tc>
      </w:tr>
      <w:tr w:rsidR="00270419" w:rsidRPr="00970C72" w14:paraId="52B94CA1" w14:textId="77777777" w:rsidTr="00270419">
        <w:trPr>
          <w:trHeight w:val="300"/>
        </w:trPr>
        <w:tc>
          <w:tcPr>
            <w:tcW w:w="1890" w:type="dxa"/>
            <w:shd w:val="clear" w:color="auto" w:fill="auto"/>
            <w:noWrap/>
            <w:vAlign w:val="center"/>
            <w:hideMark/>
          </w:tcPr>
          <w:p w14:paraId="367D1CB0" w14:textId="3A6E4B7D" w:rsidR="00270419" w:rsidRPr="00970C72" w:rsidRDefault="00FF6926" w:rsidP="004121BE">
            <w:pPr>
              <w:spacing w:after="0" w:line="240" w:lineRule="auto"/>
              <w:rPr>
                <w:rFonts w:eastAsia="Times New Roman" w:cstheme="minorHAnsi"/>
                <w:bCs/>
                <w:sz w:val="20"/>
                <w:szCs w:val="20"/>
              </w:rPr>
            </w:pPr>
            <w:r>
              <w:rPr>
                <w:rFonts w:eastAsia="Times New Roman" w:cstheme="minorHAnsi"/>
                <w:bCs/>
                <w:sz w:val="20"/>
                <w:szCs w:val="20"/>
              </w:rPr>
              <w:t xml:space="preserve">7. </w:t>
            </w:r>
            <w:r w:rsidR="00270419">
              <w:rPr>
                <w:rFonts w:eastAsia="Times New Roman" w:cstheme="minorHAnsi"/>
                <w:bCs/>
                <w:sz w:val="20"/>
                <w:szCs w:val="20"/>
              </w:rPr>
              <w:t>SSDP Components</w:t>
            </w:r>
          </w:p>
        </w:tc>
        <w:tc>
          <w:tcPr>
            <w:tcW w:w="7830" w:type="dxa"/>
            <w:shd w:val="clear" w:color="auto" w:fill="auto"/>
            <w:noWrap/>
            <w:vAlign w:val="center"/>
          </w:tcPr>
          <w:p w14:paraId="72C55457" w14:textId="77777777" w:rsidR="00D262D1" w:rsidRPr="00D262D1" w:rsidRDefault="00D262D1" w:rsidP="00D262D1">
            <w:pPr>
              <w:spacing w:after="0" w:line="240" w:lineRule="auto"/>
              <w:rPr>
                <w:rFonts w:ascii="Calibri" w:hAnsi="Calibri"/>
                <w:b/>
                <w:bCs/>
                <w:sz w:val="20"/>
                <w:szCs w:val="20"/>
              </w:rPr>
            </w:pPr>
            <w:r w:rsidRPr="00D262D1">
              <w:rPr>
                <w:rFonts w:ascii="Calibri" w:hAnsi="Calibri"/>
                <w:b/>
                <w:bCs/>
                <w:sz w:val="20"/>
                <w:szCs w:val="20"/>
              </w:rPr>
              <w:t>-Optional Field-</w:t>
            </w:r>
          </w:p>
          <w:p w14:paraId="78C25810" w14:textId="15F7B120" w:rsidR="00270419" w:rsidRPr="00970C72" w:rsidRDefault="00FF6926" w:rsidP="004121BE">
            <w:pPr>
              <w:spacing w:after="0" w:line="240" w:lineRule="auto"/>
              <w:rPr>
                <w:rFonts w:eastAsia="Times New Roman" w:cstheme="minorHAnsi"/>
                <w:bCs/>
                <w:sz w:val="20"/>
                <w:szCs w:val="20"/>
              </w:rPr>
            </w:pPr>
            <w:r w:rsidRPr="00FF6926">
              <w:rPr>
                <w:rFonts w:ascii="Calibri" w:hAnsi="Calibri"/>
                <w:sz w:val="20"/>
                <w:szCs w:val="20"/>
              </w:rPr>
              <w:t xml:space="preserve">If applicable to this service, select one or more State Service Delivery Plan Components. For example, </w:t>
            </w:r>
            <w:r w:rsidR="00C812E2">
              <w:rPr>
                <w:rFonts w:ascii="Calibri" w:hAnsi="Calibri"/>
                <w:sz w:val="20"/>
                <w:szCs w:val="20"/>
              </w:rPr>
              <w:t>all</w:t>
            </w:r>
            <w:r w:rsidRPr="00FF6926">
              <w:rPr>
                <w:rFonts w:ascii="Calibri" w:hAnsi="Calibri"/>
                <w:sz w:val="20"/>
                <w:szCs w:val="20"/>
              </w:rPr>
              <w:t xml:space="preserve"> School Readiness services </w:t>
            </w:r>
            <w:r w:rsidR="00C812E2">
              <w:rPr>
                <w:rFonts w:ascii="Calibri" w:hAnsi="Calibri"/>
                <w:sz w:val="20"/>
                <w:szCs w:val="20"/>
              </w:rPr>
              <w:t>must</w:t>
            </w:r>
            <w:r w:rsidRPr="00FF6926">
              <w:rPr>
                <w:rFonts w:ascii="Calibri" w:hAnsi="Calibri"/>
                <w:sz w:val="20"/>
                <w:szCs w:val="20"/>
              </w:rPr>
              <w:t xml:space="preserve"> include a Social Emotional Component. Other </w:t>
            </w:r>
            <w:r w:rsidRPr="00FF6926">
              <w:rPr>
                <w:rFonts w:ascii="Calibri" w:hAnsi="Calibri"/>
                <w:sz w:val="20"/>
                <w:szCs w:val="20"/>
              </w:rPr>
              <w:lastRenderedPageBreak/>
              <w:t xml:space="preserve">instructional services may include </w:t>
            </w:r>
            <w:r w:rsidR="00C812E2">
              <w:rPr>
                <w:rFonts w:ascii="Calibri" w:hAnsi="Calibri"/>
                <w:sz w:val="20"/>
                <w:szCs w:val="20"/>
              </w:rPr>
              <w:t xml:space="preserve">integrated ELD, </w:t>
            </w:r>
            <w:r w:rsidRPr="00FF6926">
              <w:rPr>
                <w:rFonts w:ascii="Calibri" w:hAnsi="Calibri"/>
                <w:sz w:val="20"/>
                <w:szCs w:val="20"/>
              </w:rPr>
              <w:t>a Cultural Component and/or a Self-Pride Component.</w:t>
            </w:r>
            <w:r w:rsidR="00C812E2">
              <w:rPr>
                <w:rFonts w:ascii="Calibri" w:hAnsi="Calibri"/>
                <w:sz w:val="20"/>
                <w:szCs w:val="20"/>
              </w:rPr>
              <w:t xml:space="preserve"> Please refer to the SSDP to identify in which services these components should be added.</w:t>
            </w:r>
          </w:p>
        </w:tc>
      </w:tr>
      <w:tr w:rsidR="00FF6926" w:rsidRPr="00970C72" w14:paraId="2E7436F5" w14:textId="77777777" w:rsidTr="00270419">
        <w:trPr>
          <w:trHeight w:val="300"/>
        </w:trPr>
        <w:tc>
          <w:tcPr>
            <w:tcW w:w="1890" w:type="dxa"/>
            <w:shd w:val="clear" w:color="auto" w:fill="auto"/>
            <w:noWrap/>
            <w:vAlign w:val="center"/>
          </w:tcPr>
          <w:p w14:paraId="626571D9" w14:textId="5C3EBBAE" w:rsidR="00FF6926" w:rsidRDefault="00FF6926" w:rsidP="004121BE">
            <w:pPr>
              <w:spacing w:after="0" w:line="240" w:lineRule="auto"/>
              <w:rPr>
                <w:rFonts w:eastAsia="Times New Roman" w:cstheme="minorHAnsi"/>
                <w:bCs/>
                <w:sz w:val="20"/>
                <w:szCs w:val="20"/>
              </w:rPr>
            </w:pPr>
            <w:r>
              <w:rPr>
                <w:rFonts w:eastAsia="Times New Roman" w:cstheme="minorHAnsi"/>
                <w:bCs/>
                <w:sz w:val="20"/>
                <w:szCs w:val="20"/>
              </w:rPr>
              <w:lastRenderedPageBreak/>
              <w:t>8. Require Service Hours</w:t>
            </w:r>
          </w:p>
        </w:tc>
        <w:tc>
          <w:tcPr>
            <w:tcW w:w="7830" w:type="dxa"/>
            <w:shd w:val="clear" w:color="auto" w:fill="auto"/>
            <w:noWrap/>
            <w:vAlign w:val="center"/>
          </w:tcPr>
          <w:p w14:paraId="68CD7E53" w14:textId="7CF16A70" w:rsidR="00FF6926" w:rsidRPr="00FF6926" w:rsidRDefault="00FF6926" w:rsidP="004121BE">
            <w:pPr>
              <w:spacing w:after="0" w:line="240" w:lineRule="auto"/>
              <w:rPr>
                <w:rFonts w:ascii="Calibri" w:hAnsi="Calibri"/>
                <w:sz w:val="20"/>
                <w:szCs w:val="20"/>
              </w:rPr>
            </w:pPr>
            <w:r w:rsidRPr="00FF6926">
              <w:rPr>
                <w:rFonts w:ascii="Calibri" w:hAnsi="Calibri"/>
                <w:sz w:val="20"/>
                <w:szCs w:val="20"/>
              </w:rPr>
              <w:t>This field is not editable. Whether or not a service requires hours is based on the selected MPO. Certain MPOs (such as MPOs 1.0, 2.0, 7.0) require hours and will auto-select "Yes." All other MPOs will automatically make this field a "No."</w:t>
            </w:r>
          </w:p>
        </w:tc>
      </w:tr>
      <w:tr w:rsidR="00270419" w:rsidRPr="00970C72" w14:paraId="63A8EC86" w14:textId="77777777" w:rsidTr="00270419">
        <w:trPr>
          <w:trHeight w:val="300"/>
        </w:trPr>
        <w:tc>
          <w:tcPr>
            <w:tcW w:w="1890" w:type="dxa"/>
            <w:shd w:val="clear" w:color="auto" w:fill="auto"/>
            <w:noWrap/>
            <w:vAlign w:val="center"/>
            <w:hideMark/>
          </w:tcPr>
          <w:p w14:paraId="29BDAF35" w14:textId="5154EACC" w:rsidR="00270419" w:rsidRPr="00970C72" w:rsidRDefault="00346350" w:rsidP="004121BE">
            <w:pPr>
              <w:spacing w:after="0" w:line="240" w:lineRule="auto"/>
              <w:rPr>
                <w:rFonts w:eastAsia="Times New Roman" w:cstheme="minorHAnsi"/>
                <w:bCs/>
                <w:sz w:val="20"/>
                <w:szCs w:val="20"/>
              </w:rPr>
            </w:pPr>
            <w:r>
              <w:rPr>
                <w:rFonts w:eastAsia="Times New Roman" w:cstheme="minorHAnsi"/>
                <w:bCs/>
                <w:sz w:val="20"/>
                <w:szCs w:val="20"/>
              </w:rPr>
              <w:t xml:space="preserve">9. </w:t>
            </w:r>
            <w:r w:rsidR="00270419">
              <w:rPr>
                <w:rFonts w:eastAsia="Times New Roman" w:cstheme="minorHAnsi"/>
                <w:bCs/>
                <w:sz w:val="20"/>
                <w:szCs w:val="20"/>
              </w:rPr>
              <w:t>Federal Category</w:t>
            </w:r>
            <w:r w:rsidR="00897FB9">
              <w:rPr>
                <w:rStyle w:val="FootnoteReference"/>
                <w:rFonts w:eastAsia="Times New Roman" w:cstheme="minorHAnsi"/>
                <w:bCs/>
                <w:sz w:val="20"/>
                <w:szCs w:val="20"/>
              </w:rPr>
              <w:footnoteReference w:id="1"/>
            </w:r>
          </w:p>
        </w:tc>
        <w:tc>
          <w:tcPr>
            <w:tcW w:w="7830" w:type="dxa"/>
            <w:shd w:val="clear" w:color="auto" w:fill="auto"/>
            <w:noWrap/>
            <w:vAlign w:val="center"/>
          </w:tcPr>
          <w:p w14:paraId="1D483D4E" w14:textId="77777777" w:rsidR="00346350" w:rsidRPr="00346350" w:rsidRDefault="00346350" w:rsidP="00346350">
            <w:pPr>
              <w:spacing w:after="0" w:line="240" w:lineRule="auto"/>
              <w:rPr>
                <w:rFonts w:eastAsia="Times New Roman" w:cstheme="minorHAnsi"/>
                <w:b/>
                <w:sz w:val="20"/>
                <w:szCs w:val="20"/>
              </w:rPr>
            </w:pPr>
            <w:r w:rsidRPr="00346350">
              <w:rPr>
                <w:rFonts w:eastAsia="Times New Roman" w:cstheme="minorHAnsi"/>
                <w:b/>
                <w:sz w:val="20"/>
                <w:szCs w:val="20"/>
              </w:rPr>
              <w:t>Instructional Services</w:t>
            </w:r>
          </w:p>
          <w:p w14:paraId="470FE245" w14:textId="034EA297" w:rsid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Reading Instruction</w:t>
            </w:r>
            <w:r>
              <w:rPr>
                <w:rFonts w:eastAsia="Times New Roman" w:cstheme="minorHAnsi"/>
                <w:bCs/>
                <w:sz w:val="20"/>
                <w:szCs w:val="20"/>
              </w:rPr>
              <w:t>:</w:t>
            </w:r>
          </w:p>
          <w:p w14:paraId="6C156435" w14:textId="4B75414C" w:rsidR="00346350" w:rsidRPr="00346350" w:rsidRDefault="00346350" w:rsidP="00346350">
            <w:pPr>
              <w:spacing w:after="0" w:line="240" w:lineRule="auto"/>
              <w:rPr>
                <w:rFonts w:eastAsia="Times New Roman" w:cstheme="minorHAnsi"/>
                <w:bCs/>
                <w:sz w:val="20"/>
                <w:szCs w:val="20"/>
              </w:rPr>
            </w:pPr>
            <w:r>
              <w:rPr>
                <w:rFonts w:eastAsia="Times New Roman" w:cstheme="minorHAnsi"/>
                <w:bCs/>
                <w:sz w:val="20"/>
                <w:szCs w:val="20"/>
              </w:rPr>
              <w:t>R</w:t>
            </w:r>
            <w:r w:rsidRPr="00346350">
              <w:rPr>
                <w:rFonts w:eastAsia="Times New Roman" w:cstheme="minorHAnsi"/>
                <w:bCs/>
                <w:sz w:val="20"/>
                <w:szCs w:val="20"/>
              </w:rPr>
              <w:t xml:space="preserve">eading instruction provided by a teacher. </w:t>
            </w:r>
            <w:r w:rsidR="007A3ABD">
              <w:rPr>
                <w:rFonts w:eastAsia="Times New Roman" w:cstheme="minorHAnsi"/>
                <w:bCs/>
                <w:sz w:val="20"/>
                <w:szCs w:val="20"/>
              </w:rPr>
              <w:t xml:space="preserve">If </w:t>
            </w:r>
            <w:r w:rsidR="00A814DA">
              <w:rPr>
                <w:rFonts w:eastAsia="Times New Roman" w:cstheme="minorHAnsi"/>
                <w:bCs/>
                <w:sz w:val="20"/>
                <w:szCs w:val="20"/>
              </w:rPr>
              <w:t xml:space="preserve">applicable, select the </w:t>
            </w:r>
            <w:r w:rsidR="007A3ABD">
              <w:rPr>
                <w:rFonts w:eastAsia="Times New Roman" w:cstheme="minorHAnsi"/>
                <w:bCs/>
                <w:sz w:val="20"/>
                <w:szCs w:val="20"/>
              </w:rPr>
              <w:t>sub-category Credit Acc</w:t>
            </w:r>
            <w:r w:rsidR="00A814DA">
              <w:rPr>
                <w:rFonts w:eastAsia="Times New Roman" w:cstheme="minorHAnsi"/>
                <w:bCs/>
                <w:sz w:val="20"/>
                <w:szCs w:val="20"/>
              </w:rPr>
              <w:t>r</w:t>
            </w:r>
            <w:r w:rsidR="007A3ABD">
              <w:rPr>
                <w:rFonts w:eastAsia="Times New Roman" w:cstheme="minorHAnsi"/>
                <w:bCs/>
                <w:sz w:val="20"/>
                <w:szCs w:val="20"/>
              </w:rPr>
              <w:t>ual/Re</w:t>
            </w:r>
            <w:r w:rsidR="00A814DA">
              <w:rPr>
                <w:rFonts w:eastAsia="Times New Roman" w:cstheme="minorHAnsi"/>
                <w:bCs/>
                <w:sz w:val="20"/>
                <w:szCs w:val="20"/>
              </w:rPr>
              <w:t>covery.</w:t>
            </w:r>
            <w:r w:rsidR="00CB1B32">
              <w:rPr>
                <w:rFonts w:eastAsia="Times New Roman" w:cstheme="minorHAnsi"/>
                <w:bCs/>
                <w:sz w:val="20"/>
                <w:szCs w:val="20"/>
              </w:rPr>
              <w:t xml:space="preserve"> </w:t>
            </w:r>
            <w:r w:rsidR="00CB1B32" w:rsidRPr="00346350">
              <w:rPr>
                <w:rFonts w:eastAsia="Times New Roman" w:cstheme="minorHAnsi"/>
                <w:bCs/>
                <w:sz w:val="20"/>
                <w:szCs w:val="20"/>
              </w:rPr>
              <w:t>If instruction is provided by a paraprofessional, then select Other Instruction instead.</w:t>
            </w:r>
          </w:p>
          <w:p w14:paraId="0BB2435D" w14:textId="77777777" w:rsidR="00346350" w:rsidRPr="00346350" w:rsidRDefault="00346350" w:rsidP="00346350">
            <w:pPr>
              <w:spacing w:after="0" w:line="240" w:lineRule="auto"/>
              <w:rPr>
                <w:rFonts w:eastAsia="Times New Roman" w:cstheme="minorHAnsi"/>
                <w:bCs/>
                <w:sz w:val="20"/>
                <w:szCs w:val="20"/>
              </w:rPr>
            </w:pPr>
          </w:p>
          <w:p w14:paraId="4C56DF0E" w14:textId="7AC02CC1" w:rsid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Math Instruction</w:t>
            </w:r>
            <w:r>
              <w:rPr>
                <w:rFonts w:eastAsia="Times New Roman" w:cstheme="minorHAnsi"/>
                <w:bCs/>
                <w:sz w:val="20"/>
                <w:szCs w:val="20"/>
              </w:rPr>
              <w:t>:</w:t>
            </w:r>
          </w:p>
          <w:p w14:paraId="2DAEC1AC" w14:textId="12C70063" w:rsidR="00346350" w:rsidRPr="00346350" w:rsidRDefault="00346350" w:rsidP="00346350">
            <w:pPr>
              <w:spacing w:after="0" w:line="240" w:lineRule="auto"/>
              <w:rPr>
                <w:rFonts w:eastAsia="Times New Roman" w:cstheme="minorHAnsi"/>
                <w:bCs/>
                <w:sz w:val="20"/>
                <w:szCs w:val="20"/>
              </w:rPr>
            </w:pPr>
            <w:r>
              <w:rPr>
                <w:rFonts w:eastAsia="Times New Roman" w:cstheme="minorHAnsi"/>
                <w:bCs/>
                <w:sz w:val="20"/>
                <w:szCs w:val="20"/>
              </w:rPr>
              <w:t>M</w:t>
            </w:r>
            <w:r w:rsidRPr="00346350">
              <w:rPr>
                <w:rFonts w:eastAsia="Times New Roman" w:cstheme="minorHAnsi"/>
                <w:bCs/>
                <w:sz w:val="20"/>
                <w:szCs w:val="20"/>
              </w:rPr>
              <w:t xml:space="preserve">ath instruction provided by a teacher. </w:t>
            </w:r>
            <w:r w:rsidR="00A814DA">
              <w:rPr>
                <w:rFonts w:eastAsia="Times New Roman" w:cstheme="minorHAnsi"/>
                <w:bCs/>
                <w:sz w:val="20"/>
                <w:szCs w:val="20"/>
              </w:rPr>
              <w:t>If applicable, select the sub-category Credit Accrual/Recovery.</w:t>
            </w:r>
            <w:r w:rsidR="00CB1B32">
              <w:rPr>
                <w:rFonts w:eastAsia="Times New Roman" w:cstheme="minorHAnsi"/>
                <w:bCs/>
                <w:sz w:val="20"/>
                <w:szCs w:val="20"/>
              </w:rPr>
              <w:t xml:space="preserve"> </w:t>
            </w:r>
            <w:r w:rsidR="00CB1B32" w:rsidRPr="00346350">
              <w:rPr>
                <w:rFonts w:eastAsia="Times New Roman" w:cstheme="minorHAnsi"/>
                <w:bCs/>
                <w:sz w:val="20"/>
                <w:szCs w:val="20"/>
              </w:rPr>
              <w:t>If instruction is provided by a paraprofessional, then select Other Instruction instead.</w:t>
            </w:r>
          </w:p>
          <w:p w14:paraId="2448A31A" w14:textId="77777777" w:rsidR="00346350" w:rsidRPr="00346350" w:rsidRDefault="00346350" w:rsidP="00346350">
            <w:pPr>
              <w:spacing w:after="0" w:line="240" w:lineRule="auto"/>
              <w:rPr>
                <w:rFonts w:eastAsia="Times New Roman" w:cstheme="minorHAnsi"/>
                <w:bCs/>
                <w:sz w:val="20"/>
                <w:szCs w:val="20"/>
              </w:rPr>
            </w:pPr>
          </w:p>
          <w:p w14:paraId="17D2F67D" w14:textId="3981E745" w:rsid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Other Instruction</w:t>
            </w:r>
            <w:r>
              <w:rPr>
                <w:rFonts w:eastAsia="Times New Roman" w:cstheme="minorHAnsi"/>
                <w:bCs/>
                <w:sz w:val="20"/>
                <w:szCs w:val="20"/>
              </w:rPr>
              <w:t>:</w:t>
            </w:r>
          </w:p>
          <w:p w14:paraId="225FB450" w14:textId="50E3B11D" w:rsidR="00346350" w:rsidRPr="00346350" w:rsidRDefault="00346350" w:rsidP="00346350">
            <w:pPr>
              <w:spacing w:after="0" w:line="240" w:lineRule="auto"/>
              <w:rPr>
                <w:rFonts w:eastAsia="Times New Roman" w:cstheme="minorHAnsi"/>
                <w:bCs/>
                <w:sz w:val="20"/>
                <w:szCs w:val="20"/>
              </w:rPr>
            </w:pPr>
            <w:r>
              <w:rPr>
                <w:rFonts w:eastAsia="Times New Roman" w:cstheme="minorHAnsi"/>
                <w:bCs/>
                <w:sz w:val="20"/>
                <w:szCs w:val="20"/>
              </w:rPr>
              <w:t>A</w:t>
            </w:r>
            <w:r w:rsidRPr="00346350">
              <w:rPr>
                <w:rFonts w:eastAsia="Times New Roman" w:cstheme="minorHAnsi"/>
                <w:bCs/>
                <w:sz w:val="20"/>
                <w:szCs w:val="20"/>
              </w:rPr>
              <w:t>ny type of MEP</w:t>
            </w:r>
            <w:r w:rsidR="00FA254F">
              <w:rPr>
                <w:rFonts w:eastAsia="Times New Roman" w:cstheme="minorHAnsi"/>
                <w:bCs/>
                <w:sz w:val="20"/>
                <w:szCs w:val="20"/>
              </w:rPr>
              <w:t>-</w:t>
            </w:r>
            <w:r w:rsidRPr="00346350">
              <w:rPr>
                <w:rFonts w:eastAsia="Times New Roman" w:cstheme="minorHAnsi"/>
                <w:bCs/>
                <w:sz w:val="20"/>
                <w:szCs w:val="20"/>
              </w:rPr>
              <w:t>funded instructional service, either provided by a teacher or a paraprofessional.</w:t>
            </w:r>
            <w:r w:rsidR="00A814DA">
              <w:rPr>
                <w:rFonts w:eastAsia="Times New Roman" w:cstheme="minorHAnsi"/>
                <w:bCs/>
                <w:sz w:val="20"/>
                <w:szCs w:val="20"/>
              </w:rPr>
              <w:t xml:space="preserve"> If applicable, select the sub-category Credit Accrual/Recovery.</w:t>
            </w:r>
          </w:p>
          <w:p w14:paraId="4C951F41" w14:textId="77777777" w:rsidR="00346350" w:rsidRPr="00346350" w:rsidRDefault="00346350" w:rsidP="00346350">
            <w:pPr>
              <w:spacing w:after="0" w:line="240" w:lineRule="auto"/>
              <w:rPr>
                <w:rFonts w:eastAsia="Times New Roman" w:cstheme="minorHAnsi"/>
                <w:bCs/>
                <w:sz w:val="20"/>
                <w:szCs w:val="20"/>
              </w:rPr>
            </w:pPr>
          </w:p>
          <w:p w14:paraId="327D2E96" w14:textId="479215E9" w:rsid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Credit Accrual/Recovery (check box)</w:t>
            </w:r>
            <w:r>
              <w:rPr>
                <w:rFonts w:eastAsia="Times New Roman" w:cstheme="minorHAnsi"/>
                <w:bCs/>
                <w:sz w:val="20"/>
                <w:szCs w:val="20"/>
              </w:rPr>
              <w:t>:</w:t>
            </w:r>
          </w:p>
          <w:p w14:paraId="2556B598" w14:textId="0BC290E8" w:rsidR="00346350" w:rsidRPr="00346350" w:rsidRDefault="00A814DA" w:rsidP="00346350">
            <w:pPr>
              <w:spacing w:after="0" w:line="240" w:lineRule="auto"/>
              <w:rPr>
                <w:rFonts w:eastAsia="Times New Roman" w:cstheme="minorHAnsi"/>
                <w:bCs/>
                <w:sz w:val="20"/>
                <w:szCs w:val="20"/>
              </w:rPr>
            </w:pPr>
            <w:r>
              <w:rPr>
                <w:rFonts w:eastAsia="Times New Roman" w:cstheme="minorHAnsi"/>
                <w:bCs/>
                <w:sz w:val="20"/>
                <w:szCs w:val="20"/>
              </w:rPr>
              <w:t>This is a sub-category under each of the Instructional Services. It is defined as i</w:t>
            </w:r>
            <w:r w:rsidR="00346350" w:rsidRPr="00346350">
              <w:rPr>
                <w:rFonts w:eastAsia="Times New Roman" w:cstheme="minorHAnsi"/>
                <w:bCs/>
                <w:sz w:val="20"/>
                <w:szCs w:val="20"/>
              </w:rPr>
              <w:t>nstruction in courses that accrue credits needed for high school graduation provided by a teacher for students on a regular or systematic basis, usually for a predetermined period of time. High school credit accrual includes correspondence courses taken by a student under the supervision of a teacher. If the service is for credit accrual or recovery and provided by a teacher, then this box should be checked.</w:t>
            </w:r>
          </w:p>
          <w:p w14:paraId="0A813F4B" w14:textId="77777777" w:rsidR="00346350" w:rsidRPr="00346350" w:rsidRDefault="00346350" w:rsidP="00346350">
            <w:pPr>
              <w:spacing w:after="0" w:line="240" w:lineRule="auto"/>
              <w:rPr>
                <w:rFonts w:eastAsia="Times New Roman" w:cstheme="minorHAnsi"/>
                <w:bCs/>
                <w:sz w:val="20"/>
                <w:szCs w:val="20"/>
              </w:rPr>
            </w:pPr>
          </w:p>
          <w:p w14:paraId="1B65E721" w14:textId="4BACE2CD" w:rsidR="00346350" w:rsidRPr="00346350" w:rsidRDefault="00346350" w:rsidP="00346350">
            <w:pPr>
              <w:spacing w:after="0" w:line="240" w:lineRule="auto"/>
              <w:rPr>
                <w:rFonts w:eastAsia="Times New Roman" w:cstheme="minorHAnsi"/>
                <w:b/>
                <w:sz w:val="20"/>
                <w:szCs w:val="20"/>
              </w:rPr>
            </w:pPr>
            <w:r w:rsidRPr="00346350">
              <w:rPr>
                <w:rFonts w:eastAsia="Times New Roman" w:cstheme="minorHAnsi"/>
                <w:b/>
                <w:sz w:val="20"/>
                <w:szCs w:val="20"/>
              </w:rPr>
              <w:t>Support Services</w:t>
            </w:r>
          </w:p>
          <w:p w14:paraId="3A33F6E9" w14:textId="77777777" w:rsid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Counseling Services</w:t>
            </w:r>
            <w:r>
              <w:rPr>
                <w:rFonts w:eastAsia="Times New Roman" w:cstheme="minorHAnsi"/>
                <w:bCs/>
                <w:sz w:val="20"/>
                <w:szCs w:val="20"/>
              </w:rPr>
              <w:t>:</w:t>
            </w:r>
          </w:p>
          <w:p w14:paraId="2B5B7FD0" w14:textId="174311AB" w:rsidR="00346350" w:rsidRPr="00346350" w:rsidRDefault="00346350" w:rsidP="00346350">
            <w:pPr>
              <w:spacing w:after="0" w:line="240" w:lineRule="auto"/>
              <w:rPr>
                <w:rFonts w:eastAsia="Times New Roman" w:cstheme="minorHAnsi"/>
                <w:bCs/>
                <w:sz w:val="20"/>
                <w:szCs w:val="20"/>
              </w:rPr>
            </w:pPr>
            <w:r>
              <w:rPr>
                <w:rFonts w:eastAsia="Times New Roman" w:cstheme="minorHAnsi"/>
                <w:bCs/>
                <w:sz w:val="20"/>
                <w:szCs w:val="20"/>
              </w:rPr>
              <w:t>S</w:t>
            </w:r>
            <w:r w:rsidRPr="00346350">
              <w:rPr>
                <w:rFonts w:eastAsia="Times New Roman" w:cstheme="minorHAnsi"/>
                <w:bCs/>
                <w:sz w:val="20"/>
                <w:szCs w:val="20"/>
              </w:rPr>
              <w:t>ervices to help a student to better identify and enhance his or her educational, personal, or occupational potential; relate his or her abilities, emotions, and aptitudes to educational and career opportunities; utilize his or her abilities in formulating realistic plans; and achieve satisfying personal and social development. These activities take place between one or more counselors and one or more students as counselees, between students and students, and between counselors and other staff members. The services can also help the child address life problems or personal crisis that result from the culture of migrancy.</w:t>
            </w:r>
            <w:r w:rsidR="00A814DA">
              <w:rPr>
                <w:rFonts w:eastAsia="Times New Roman" w:cstheme="minorHAnsi"/>
                <w:bCs/>
                <w:sz w:val="20"/>
                <w:szCs w:val="20"/>
              </w:rPr>
              <w:t xml:space="preserve"> If applicable, select the sub-category Health.</w:t>
            </w:r>
          </w:p>
          <w:p w14:paraId="70430ABA" w14:textId="77777777" w:rsidR="00346350" w:rsidRPr="00346350" w:rsidRDefault="00346350" w:rsidP="00346350">
            <w:pPr>
              <w:spacing w:after="0" w:line="240" w:lineRule="auto"/>
              <w:rPr>
                <w:rFonts w:eastAsia="Times New Roman" w:cstheme="minorHAnsi"/>
                <w:bCs/>
                <w:sz w:val="20"/>
                <w:szCs w:val="20"/>
              </w:rPr>
            </w:pPr>
          </w:p>
          <w:p w14:paraId="56FF7C4D" w14:textId="7C70D9CC" w:rsidR="00346350" w:rsidRP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Referred Services</w:t>
            </w:r>
            <w:r>
              <w:rPr>
                <w:rFonts w:eastAsia="Times New Roman" w:cstheme="minorHAnsi"/>
                <w:bCs/>
                <w:sz w:val="20"/>
                <w:szCs w:val="20"/>
              </w:rPr>
              <w:t>:</w:t>
            </w:r>
          </w:p>
          <w:p w14:paraId="22508432" w14:textId="36F7B447" w:rsidR="00346350" w:rsidRP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Educational or educationally related services provided from non-MEP programs or organizations that otherwise would not have been obtained by migrant children</w:t>
            </w:r>
            <w:r w:rsidR="003D5A87">
              <w:rPr>
                <w:rFonts w:eastAsia="Times New Roman" w:cstheme="minorHAnsi"/>
                <w:bCs/>
                <w:sz w:val="20"/>
                <w:szCs w:val="20"/>
              </w:rPr>
              <w:t xml:space="preserve"> (</w:t>
            </w:r>
            <w:r w:rsidRPr="00346350">
              <w:rPr>
                <w:rFonts w:eastAsia="Times New Roman" w:cstheme="minorHAnsi"/>
                <w:bCs/>
                <w:sz w:val="20"/>
                <w:szCs w:val="20"/>
              </w:rPr>
              <w:t>but are obtained for migrant children through the efforts of MEP-funded personnel</w:t>
            </w:r>
            <w:r w:rsidR="003D5A87">
              <w:rPr>
                <w:rFonts w:eastAsia="Times New Roman" w:cstheme="minorHAnsi"/>
                <w:bCs/>
                <w:sz w:val="20"/>
                <w:szCs w:val="20"/>
              </w:rPr>
              <w:t>)</w:t>
            </w:r>
            <w:r w:rsidRPr="00346350">
              <w:rPr>
                <w:rFonts w:eastAsia="Times New Roman" w:cstheme="minorHAnsi"/>
                <w:bCs/>
                <w:sz w:val="20"/>
                <w:szCs w:val="20"/>
              </w:rPr>
              <w:t>. Other non-MEP local, state, and/or federal funds support the delivery of the referred services.</w:t>
            </w:r>
            <w:r w:rsidR="00A814DA">
              <w:rPr>
                <w:rFonts w:eastAsia="Times New Roman" w:cstheme="minorHAnsi"/>
                <w:bCs/>
                <w:sz w:val="20"/>
                <w:szCs w:val="20"/>
              </w:rPr>
              <w:t xml:space="preserve"> If applicable, select the sub-category Health.</w:t>
            </w:r>
            <w:r w:rsidRPr="00346350">
              <w:rPr>
                <w:rFonts w:eastAsia="Times New Roman" w:cstheme="minorHAnsi"/>
                <w:bCs/>
                <w:sz w:val="20"/>
                <w:szCs w:val="20"/>
              </w:rPr>
              <w:t xml:space="preserve">   </w:t>
            </w:r>
          </w:p>
          <w:p w14:paraId="05EC2D10" w14:textId="77777777" w:rsidR="00346350" w:rsidRPr="00346350" w:rsidRDefault="00346350" w:rsidP="00346350">
            <w:pPr>
              <w:spacing w:after="0" w:line="240" w:lineRule="auto"/>
              <w:rPr>
                <w:rFonts w:eastAsia="Times New Roman" w:cstheme="minorHAnsi"/>
                <w:bCs/>
                <w:sz w:val="20"/>
                <w:szCs w:val="20"/>
              </w:rPr>
            </w:pPr>
          </w:p>
          <w:p w14:paraId="50896972" w14:textId="1060625F" w:rsidR="00346350" w:rsidRP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lastRenderedPageBreak/>
              <w:t>Support Services</w:t>
            </w:r>
            <w:r>
              <w:rPr>
                <w:rFonts w:eastAsia="Times New Roman" w:cstheme="minorHAnsi"/>
                <w:bCs/>
                <w:sz w:val="20"/>
                <w:szCs w:val="20"/>
              </w:rPr>
              <w:t>:</w:t>
            </w:r>
          </w:p>
          <w:p w14:paraId="429F21D1" w14:textId="1ADD2843" w:rsidR="00346350" w:rsidRP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These MEP-funded services include, but are not limited to, health, nutrition, counseling, and social services for migrant families; necessary educational supplies, and transportation. The one-time act of providing instructional or informational packets to a child or family does not constitute a support service.</w:t>
            </w:r>
            <w:r w:rsidR="00A814DA">
              <w:rPr>
                <w:rFonts w:eastAsia="Times New Roman" w:cstheme="minorHAnsi"/>
                <w:bCs/>
                <w:sz w:val="20"/>
                <w:szCs w:val="20"/>
              </w:rPr>
              <w:t xml:space="preserve"> If applicable, select the sub-category Health.</w:t>
            </w:r>
          </w:p>
          <w:p w14:paraId="6DE11BE0" w14:textId="77777777" w:rsidR="00346350" w:rsidRPr="00346350" w:rsidRDefault="00346350" w:rsidP="00346350">
            <w:pPr>
              <w:spacing w:after="0" w:line="240" w:lineRule="auto"/>
              <w:rPr>
                <w:rFonts w:eastAsia="Times New Roman" w:cstheme="minorHAnsi"/>
                <w:bCs/>
                <w:sz w:val="20"/>
                <w:szCs w:val="20"/>
              </w:rPr>
            </w:pPr>
          </w:p>
          <w:p w14:paraId="6FF74F1E" w14:textId="753CF745" w:rsidR="00346350" w:rsidRPr="00346350" w:rsidRDefault="00346350" w:rsidP="00346350">
            <w:pPr>
              <w:spacing w:after="0" w:line="240" w:lineRule="auto"/>
              <w:rPr>
                <w:rFonts w:eastAsia="Times New Roman" w:cstheme="minorHAnsi"/>
                <w:bCs/>
                <w:sz w:val="20"/>
                <w:szCs w:val="20"/>
              </w:rPr>
            </w:pPr>
            <w:r w:rsidRPr="00346350">
              <w:rPr>
                <w:rFonts w:eastAsia="Times New Roman" w:cstheme="minorHAnsi"/>
                <w:bCs/>
                <w:sz w:val="20"/>
                <w:szCs w:val="20"/>
              </w:rPr>
              <w:t>Health (check box)</w:t>
            </w:r>
            <w:r>
              <w:rPr>
                <w:rFonts w:eastAsia="Times New Roman" w:cstheme="minorHAnsi"/>
                <w:bCs/>
                <w:sz w:val="20"/>
                <w:szCs w:val="20"/>
              </w:rPr>
              <w:t>:</w:t>
            </w:r>
          </w:p>
          <w:p w14:paraId="6CF73B40" w14:textId="6F70E323" w:rsidR="00270419" w:rsidRPr="00970C72" w:rsidRDefault="00A814DA" w:rsidP="00346350">
            <w:pPr>
              <w:spacing w:after="0" w:line="240" w:lineRule="auto"/>
              <w:rPr>
                <w:rFonts w:eastAsia="Times New Roman" w:cstheme="minorHAnsi"/>
                <w:bCs/>
                <w:sz w:val="20"/>
                <w:szCs w:val="20"/>
              </w:rPr>
            </w:pPr>
            <w:r>
              <w:rPr>
                <w:rFonts w:eastAsia="Times New Roman" w:cstheme="minorHAnsi"/>
                <w:bCs/>
                <w:sz w:val="20"/>
                <w:szCs w:val="20"/>
              </w:rPr>
              <w:t xml:space="preserve">This is a sub-category under each of the Support Services. </w:t>
            </w:r>
            <w:r w:rsidR="00346350" w:rsidRPr="00346350">
              <w:rPr>
                <w:rFonts w:eastAsia="Times New Roman" w:cstheme="minorHAnsi"/>
                <w:bCs/>
                <w:sz w:val="20"/>
                <w:szCs w:val="20"/>
              </w:rPr>
              <w:t xml:space="preserve">If </w:t>
            </w:r>
            <w:r>
              <w:rPr>
                <w:rFonts w:eastAsia="Times New Roman" w:cstheme="minorHAnsi"/>
                <w:bCs/>
                <w:sz w:val="20"/>
                <w:szCs w:val="20"/>
              </w:rPr>
              <w:t xml:space="preserve">the service is </w:t>
            </w:r>
            <w:r w:rsidR="00346350" w:rsidRPr="00346350">
              <w:rPr>
                <w:rFonts w:eastAsia="Times New Roman" w:cstheme="minorHAnsi"/>
                <w:bCs/>
                <w:sz w:val="20"/>
                <w:szCs w:val="20"/>
              </w:rPr>
              <w:t>health</w:t>
            </w:r>
            <w:r w:rsidR="00FA254F">
              <w:rPr>
                <w:rFonts w:eastAsia="Times New Roman" w:cstheme="minorHAnsi"/>
                <w:bCs/>
                <w:sz w:val="20"/>
                <w:szCs w:val="20"/>
              </w:rPr>
              <w:t>-</w:t>
            </w:r>
            <w:r w:rsidR="00346350" w:rsidRPr="00346350">
              <w:rPr>
                <w:rFonts w:eastAsia="Times New Roman" w:cstheme="minorHAnsi"/>
                <w:bCs/>
                <w:sz w:val="20"/>
                <w:szCs w:val="20"/>
              </w:rPr>
              <w:t>related, then this box should be checked.</w:t>
            </w:r>
          </w:p>
        </w:tc>
      </w:tr>
      <w:tr w:rsidR="00270419" w14:paraId="1042FF9A" w14:textId="77777777" w:rsidTr="00270419">
        <w:trPr>
          <w:trHeight w:val="300"/>
        </w:trPr>
        <w:tc>
          <w:tcPr>
            <w:tcW w:w="1890" w:type="dxa"/>
            <w:shd w:val="clear" w:color="auto" w:fill="auto"/>
            <w:noWrap/>
            <w:vAlign w:val="center"/>
          </w:tcPr>
          <w:p w14:paraId="6286CEA2" w14:textId="371DF1C3" w:rsidR="00270419" w:rsidRPr="00970C72" w:rsidRDefault="00346350" w:rsidP="004121BE">
            <w:pPr>
              <w:spacing w:after="0" w:line="240" w:lineRule="auto"/>
              <w:rPr>
                <w:rFonts w:eastAsia="Times New Roman" w:cstheme="minorHAnsi"/>
                <w:bCs/>
                <w:sz w:val="20"/>
                <w:szCs w:val="20"/>
              </w:rPr>
            </w:pPr>
            <w:r>
              <w:rPr>
                <w:rFonts w:eastAsia="Times New Roman" w:cstheme="minorHAnsi"/>
                <w:bCs/>
                <w:sz w:val="20"/>
                <w:szCs w:val="20"/>
              </w:rPr>
              <w:lastRenderedPageBreak/>
              <w:t xml:space="preserve">10. </w:t>
            </w:r>
            <w:r w:rsidR="00270419">
              <w:rPr>
                <w:rFonts w:eastAsia="Times New Roman" w:cstheme="minorHAnsi"/>
                <w:bCs/>
                <w:sz w:val="20"/>
                <w:szCs w:val="20"/>
              </w:rPr>
              <w:t>Service Category</w:t>
            </w:r>
          </w:p>
        </w:tc>
        <w:tc>
          <w:tcPr>
            <w:tcW w:w="7830" w:type="dxa"/>
            <w:shd w:val="clear" w:color="auto" w:fill="auto"/>
            <w:noWrap/>
            <w:vAlign w:val="center"/>
          </w:tcPr>
          <w:p w14:paraId="68B203A7" w14:textId="552F8CD1" w:rsidR="00270419" w:rsidRDefault="00346350" w:rsidP="004121BE">
            <w:pPr>
              <w:spacing w:after="0" w:line="240" w:lineRule="auto"/>
              <w:rPr>
                <w:rFonts w:eastAsia="Times New Roman" w:cstheme="minorHAnsi"/>
                <w:bCs/>
                <w:sz w:val="20"/>
                <w:szCs w:val="20"/>
              </w:rPr>
            </w:pPr>
            <w:r w:rsidRPr="00346350">
              <w:rPr>
                <w:rFonts w:ascii="Calibri" w:hAnsi="Calibri"/>
                <w:sz w:val="20"/>
                <w:szCs w:val="20"/>
              </w:rPr>
              <w:t>Select if this an Instructional Service or a Support Service.</w:t>
            </w:r>
          </w:p>
        </w:tc>
      </w:tr>
      <w:tr w:rsidR="00346350" w14:paraId="714A4C89" w14:textId="77777777" w:rsidTr="00270419">
        <w:trPr>
          <w:trHeight w:val="300"/>
        </w:trPr>
        <w:tc>
          <w:tcPr>
            <w:tcW w:w="1890" w:type="dxa"/>
            <w:shd w:val="clear" w:color="auto" w:fill="auto"/>
            <w:noWrap/>
            <w:vAlign w:val="center"/>
          </w:tcPr>
          <w:p w14:paraId="7AE451A0" w14:textId="58432F77" w:rsidR="00346350" w:rsidRDefault="00346350" w:rsidP="004121BE">
            <w:pPr>
              <w:spacing w:after="0" w:line="240" w:lineRule="auto"/>
              <w:rPr>
                <w:rFonts w:eastAsia="Times New Roman" w:cstheme="minorHAnsi"/>
                <w:bCs/>
                <w:sz w:val="20"/>
                <w:szCs w:val="20"/>
              </w:rPr>
            </w:pPr>
            <w:r>
              <w:rPr>
                <w:rFonts w:eastAsia="Times New Roman" w:cstheme="minorHAnsi"/>
                <w:bCs/>
                <w:sz w:val="20"/>
                <w:szCs w:val="20"/>
              </w:rPr>
              <w:t>11. Provided By</w:t>
            </w:r>
          </w:p>
        </w:tc>
        <w:tc>
          <w:tcPr>
            <w:tcW w:w="7830" w:type="dxa"/>
            <w:shd w:val="clear" w:color="auto" w:fill="auto"/>
            <w:noWrap/>
            <w:vAlign w:val="center"/>
          </w:tcPr>
          <w:p w14:paraId="178D8103" w14:textId="77777777" w:rsidR="00346350" w:rsidRPr="00346350" w:rsidRDefault="00346350" w:rsidP="00346350">
            <w:pPr>
              <w:spacing w:after="0" w:line="240" w:lineRule="auto"/>
              <w:rPr>
                <w:rFonts w:ascii="Calibri" w:hAnsi="Calibri"/>
                <w:sz w:val="20"/>
                <w:szCs w:val="20"/>
              </w:rPr>
            </w:pPr>
            <w:r w:rsidRPr="00346350">
              <w:rPr>
                <w:rFonts w:ascii="Calibri" w:hAnsi="Calibri"/>
                <w:sz w:val="20"/>
                <w:szCs w:val="20"/>
              </w:rPr>
              <w:t>Select who provides the service. The definitions for service providers are:</w:t>
            </w:r>
          </w:p>
          <w:p w14:paraId="2A9B103B" w14:textId="03C5D180" w:rsidR="00346350" w:rsidRPr="00346350" w:rsidRDefault="00346350" w:rsidP="00346350">
            <w:pPr>
              <w:spacing w:after="0" w:line="240" w:lineRule="auto"/>
              <w:rPr>
                <w:rFonts w:ascii="Calibri" w:hAnsi="Calibri"/>
                <w:sz w:val="20"/>
                <w:szCs w:val="20"/>
              </w:rPr>
            </w:pPr>
            <w:r w:rsidRPr="00346350">
              <w:rPr>
                <w:rFonts w:ascii="Calibri" w:hAnsi="Calibri"/>
                <w:sz w:val="20"/>
                <w:szCs w:val="20"/>
              </w:rPr>
              <w:t>•</w:t>
            </w:r>
            <w:r>
              <w:rPr>
                <w:rFonts w:ascii="Calibri" w:hAnsi="Calibri"/>
                <w:sz w:val="20"/>
                <w:szCs w:val="20"/>
              </w:rPr>
              <w:t xml:space="preserve"> </w:t>
            </w:r>
            <w:r w:rsidRPr="00346350">
              <w:rPr>
                <w:rFonts w:ascii="Calibri" w:hAnsi="Calibri"/>
                <w:sz w:val="20"/>
                <w:szCs w:val="20"/>
              </w:rPr>
              <w:t>Teacher: An instructor who is licensed and meets any other teaching requirements in the State.</w:t>
            </w:r>
          </w:p>
          <w:p w14:paraId="19CA6D7F" w14:textId="23C7E79B" w:rsidR="00346350" w:rsidRPr="00346350" w:rsidRDefault="00346350" w:rsidP="00346350">
            <w:pPr>
              <w:spacing w:after="0" w:line="240" w:lineRule="auto"/>
              <w:rPr>
                <w:rFonts w:ascii="Calibri" w:hAnsi="Calibri"/>
                <w:sz w:val="20"/>
                <w:szCs w:val="20"/>
              </w:rPr>
            </w:pPr>
            <w:r w:rsidRPr="00346350">
              <w:rPr>
                <w:rFonts w:ascii="Calibri" w:hAnsi="Calibri"/>
                <w:sz w:val="20"/>
                <w:szCs w:val="20"/>
              </w:rPr>
              <w:t>•</w:t>
            </w:r>
            <w:r>
              <w:rPr>
                <w:rFonts w:ascii="Calibri" w:hAnsi="Calibri"/>
                <w:sz w:val="20"/>
                <w:szCs w:val="20"/>
              </w:rPr>
              <w:t xml:space="preserve"> </w:t>
            </w:r>
            <w:r w:rsidRPr="00346350">
              <w:rPr>
                <w:rFonts w:ascii="Calibri" w:hAnsi="Calibri"/>
                <w:sz w:val="20"/>
                <w:szCs w:val="20"/>
              </w:rPr>
              <w:t>Qualified Paraprofessional:</w:t>
            </w:r>
          </w:p>
          <w:p w14:paraId="05D74E3F" w14:textId="0EBA0773" w:rsidR="00346350" w:rsidRPr="00EC436C" w:rsidRDefault="00346350" w:rsidP="00EC436C">
            <w:pPr>
              <w:pStyle w:val="ListParagraph"/>
              <w:numPr>
                <w:ilvl w:val="0"/>
                <w:numId w:val="25"/>
              </w:numPr>
              <w:spacing w:after="0" w:line="240" w:lineRule="auto"/>
              <w:rPr>
                <w:rFonts w:ascii="Calibri" w:hAnsi="Calibri"/>
                <w:sz w:val="20"/>
                <w:szCs w:val="20"/>
              </w:rPr>
            </w:pPr>
            <w:r w:rsidRPr="00EC436C">
              <w:rPr>
                <w:rFonts w:ascii="Calibri" w:hAnsi="Calibri"/>
                <w:sz w:val="20"/>
                <w:szCs w:val="20"/>
              </w:rPr>
              <w:t>High school diploma or the equivalent, and</w:t>
            </w:r>
          </w:p>
          <w:p w14:paraId="2FE187B3" w14:textId="33164DD9" w:rsidR="00346350" w:rsidRPr="00EC436C" w:rsidRDefault="00346350" w:rsidP="00EC436C">
            <w:pPr>
              <w:pStyle w:val="ListParagraph"/>
              <w:numPr>
                <w:ilvl w:val="0"/>
                <w:numId w:val="25"/>
              </w:numPr>
              <w:spacing w:after="0" w:line="240" w:lineRule="auto"/>
              <w:rPr>
                <w:rFonts w:ascii="Calibri" w:hAnsi="Calibri"/>
                <w:sz w:val="20"/>
                <w:szCs w:val="20"/>
              </w:rPr>
            </w:pPr>
            <w:r w:rsidRPr="00EC436C">
              <w:rPr>
                <w:rFonts w:ascii="Calibri" w:hAnsi="Calibri"/>
                <w:sz w:val="20"/>
                <w:szCs w:val="20"/>
              </w:rPr>
              <w:t>Two years of college (48 units), or</w:t>
            </w:r>
          </w:p>
          <w:p w14:paraId="7A1FBC6F" w14:textId="5ADF34B6" w:rsidR="00346350" w:rsidRPr="00EC436C" w:rsidRDefault="00346350" w:rsidP="00EC436C">
            <w:pPr>
              <w:pStyle w:val="ListParagraph"/>
              <w:numPr>
                <w:ilvl w:val="0"/>
                <w:numId w:val="25"/>
              </w:numPr>
              <w:spacing w:after="0" w:line="240" w:lineRule="auto"/>
              <w:rPr>
                <w:rFonts w:ascii="Calibri" w:hAnsi="Calibri"/>
                <w:sz w:val="20"/>
                <w:szCs w:val="20"/>
              </w:rPr>
            </w:pPr>
            <w:r w:rsidRPr="00EC436C">
              <w:rPr>
                <w:rFonts w:ascii="Calibri" w:hAnsi="Calibri"/>
                <w:sz w:val="20"/>
                <w:szCs w:val="20"/>
              </w:rPr>
              <w:t>A.</w:t>
            </w:r>
            <w:r w:rsidR="00C23B75" w:rsidRPr="00EC436C">
              <w:rPr>
                <w:rFonts w:ascii="Calibri" w:hAnsi="Calibri"/>
                <w:sz w:val="20"/>
                <w:szCs w:val="20"/>
              </w:rPr>
              <w:t>A.</w:t>
            </w:r>
            <w:r w:rsidRPr="00EC436C">
              <w:rPr>
                <w:rFonts w:ascii="Calibri" w:hAnsi="Calibri"/>
                <w:sz w:val="20"/>
                <w:szCs w:val="20"/>
              </w:rPr>
              <w:t xml:space="preserve"> degree (or higher), or</w:t>
            </w:r>
          </w:p>
          <w:p w14:paraId="2E8CE96F" w14:textId="149CE781" w:rsidR="00346350" w:rsidRPr="00EC436C" w:rsidRDefault="00346350" w:rsidP="00EC436C">
            <w:pPr>
              <w:pStyle w:val="ListParagraph"/>
              <w:numPr>
                <w:ilvl w:val="0"/>
                <w:numId w:val="25"/>
              </w:numPr>
              <w:spacing w:after="0" w:line="240" w:lineRule="auto"/>
              <w:rPr>
                <w:rFonts w:ascii="Calibri" w:hAnsi="Calibri"/>
                <w:sz w:val="20"/>
                <w:szCs w:val="20"/>
              </w:rPr>
            </w:pPr>
            <w:r w:rsidRPr="00EC436C">
              <w:rPr>
                <w:rFonts w:ascii="Calibri" w:hAnsi="Calibri"/>
                <w:sz w:val="20"/>
                <w:szCs w:val="20"/>
              </w:rPr>
              <w:t xml:space="preserve">Pass a local assessment of knowledge and skills in assisting in instruction. </w:t>
            </w:r>
          </w:p>
          <w:p w14:paraId="6EE40B95" w14:textId="505F473D" w:rsidR="00346350" w:rsidRPr="00346350" w:rsidRDefault="00346350" w:rsidP="00346350">
            <w:pPr>
              <w:spacing w:after="0" w:line="240" w:lineRule="auto"/>
              <w:rPr>
                <w:rFonts w:ascii="Calibri" w:hAnsi="Calibri"/>
                <w:sz w:val="20"/>
                <w:szCs w:val="20"/>
              </w:rPr>
            </w:pPr>
            <w:r w:rsidRPr="00346350">
              <w:rPr>
                <w:rFonts w:ascii="Calibri" w:hAnsi="Calibri"/>
                <w:sz w:val="20"/>
                <w:szCs w:val="20"/>
              </w:rPr>
              <w:t>•</w:t>
            </w:r>
            <w:r>
              <w:rPr>
                <w:rFonts w:ascii="Calibri" w:hAnsi="Calibri"/>
                <w:sz w:val="20"/>
                <w:szCs w:val="20"/>
              </w:rPr>
              <w:t xml:space="preserve"> </w:t>
            </w:r>
            <w:r w:rsidRPr="00346350">
              <w:rPr>
                <w:rFonts w:ascii="Calibri" w:hAnsi="Calibri"/>
                <w:sz w:val="20"/>
                <w:szCs w:val="20"/>
              </w:rPr>
              <w:t xml:space="preserve">Paraprofessional: An individual who carries out activities described under qualified </w:t>
            </w:r>
            <w:r w:rsidR="003D5A87" w:rsidRPr="00346350">
              <w:rPr>
                <w:rFonts w:ascii="Calibri" w:hAnsi="Calibri"/>
                <w:sz w:val="20"/>
                <w:szCs w:val="20"/>
              </w:rPr>
              <w:t>paraprofessional but</w:t>
            </w:r>
            <w:r w:rsidRPr="00346350">
              <w:rPr>
                <w:rFonts w:ascii="Calibri" w:hAnsi="Calibri"/>
                <w:sz w:val="20"/>
                <w:szCs w:val="20"/>
              </w:rPr>
              <w:t xml:space="preserve"> does not meet the other requirements listed.</w:t>
            </w:r>
          </w:p>
          <w:p w14:paraId="3D9D3F2D" w14:textId="5EBAAFD7" w:rsidR="00346350" w:rsidRPr="00346350" w:rsidRDefault="00346350" w:rsidP="00346350">
            <w:pPr>
              <w:spacing w:after="0" w:line="240" w:lineRule="auto"/>
              <w:rPr>
                <w:rFonts w:ascii="Calibri" w:hAnsi="Calibri"/>
                <w:sz w:val="20"/>
                <w:szCs w:val="20"/>
              </w:rPr>
            </w:pPr>
            <w:r w:rsidRPr="00346350">
              <w:rPr>
                <w:rFonts w:ascii="Calibri" w:hAnsi="Calibri"/>
                <w:sz w:val="20"/>
                <w:szCs w:val="20"/>
              </w:rPr>
              <w:t>•</w:t>
            </w:r>
            <w:r>
              <w:rPr>
                <w:rFonts w:ascii="Calibri" w:hAnsi="Calibri"/>
                <w:sz w:val="20"/>
                <w:szCs w:val="20"/>
              </w:rPr>
              <w:t xml:space="preserve"> </w:t>
            </w:r>
            <w:r w:rsidRPr="00346350">
              <w:rPr>
                <w:rFonts w:ascii="Calibri" w:hAnsi="Calibri"/>
                <w:sz w:val="20"/>
                <w:szCs w:val="20"/>
              </w:rPr>
              <w:t>Professional: For support services, a provider who is licensed by the State and meets all qualifications to work with school</w:t>
            </w:r>
            <w:r w:rsidR="00FA254F">
              <w:rPr>
                <w:rFonts w:ascii="Calibri" w:hAnsi="Calibri"/>
                <w:sz w:val="20"/>
                <w:szCs w:val="20"/>
              </w:rPr>
              <w:t>-</w:t>
            </w:r>
            <w:r w:rsidRPr="00346350">
              <w:rPr>
                <w:rFonts w:ascii="Calibri" w:hAnsi="Calibri"/>
                <w:sz w:val="20"/>
                <w:szCs w:val="20"/>
              </w:rPr>
              <w:t>age children and youth.</w:t>
            </w:r>
          </w:p>
          <w:p w14:paraId="241C6B3A" w14:textId="79C1038C" w:rsidR="00346350" w:rsidRPr="00346350" w:rsidRDefault="00346350" w:rsidP="00346350">
            <w:pPr>
              <w:spacing w:after="0" w:line="240" w:lineRule="auto"/>
              <w:rPr>
                <w:rFonts w:ascii="Calibri" w:hAnsi="Calibri"/>
                <w:sz w:val="20"/>
                <w:szCs w:val="20"/>
              </w:rPr>
            </w:pPr>
            <w:r w:rsidRPr="00346350">
              <w:rPr>
                <w:rFonts w:ascii="Calibri" w:hAnsi="Calibri"/>
                <w:sz w:val="20"/>
                <w:szCs w:val="20"/>
              </w:rPr>
              <w:t>•</w:t>
            </w:r>
            <w:r>
              <w:rPr>
                <w:rFonts w:ascii="Calibri" w:hAnsi="Calibri"/>
                <w:sz w:val="20"/>
                <w:szCs w:val="20"/>
              </w:rPr>
              <w:t xml:space="preserve"> </w:t>
            </w:r>
            <w:r w:rsidRPr="00346350">
              <w:rPr>
                <w:rFonts w:ascii="Calibri" w:hAnsi="Calibri"/>
                <w:sz w:val="20"/>
                <w:szCs w:val="20"/>
              </w:rPr>
              <w:t>N/A: Not applicable. This service may be provided by any MEP-funded staff.</w:t>
            </w:r>
          </w:p>
        </w:tc>
      </w:tr>
      <w:tr w:rsidR="00270419" w14:paraId="7531771C" w14:textId="77777777" w:rsidTr="00270419">
        <w:trPr>
          <w:trHeight w:val="300"/>
        </w:trPr>
        <w:tc>
          <w:tcPr>
            <w:tcW w:w="1890" w:type="dxa"/>
            <w:shd w:val="clear" w:color="auto" w:fill="auto"/>
            <w:noWrap/>
            <w:vAlign w:val="center"/>
          </w:tcPr>
          <w:p w14:paraId="755479EE" w14:textId="6F7794D3" w:rsidR="00270419" w:rsidRDefault="00346350" w:rsidP="004121BE">
            <w:pPr>
              <w:spacing w:after="0" w:line="240" w:lineRule="auto"/>
              <w:rPr>
                <w:rFonts w:eastAsia="Times New Roman" w:cstheme="minorHAnsi"/>
                <w:bCs/>
                <w:sz w:val="20"/>
                <w:szCs w:val="20"/>
              </w:rPr>
            </w:pPr>
            <w:r>
              <w:rPr>
                <w:rFonts w:eastAsia="Times New Roman" w:cstheme="minorHAnsi"/>
                <w:bCs/>
                <w:sz w:val="20"/>
                <w:szCs w:val="20"/>
              </w:rPr>
              <w:t xml:space="preserve">12. </w:t>
            </w:r>
            <w:r w:rsidR="00270419">
              <w:rPr>
                <w:rFonts w:eastAsia="Times New Roman" w:cstheme="minorHAnsi"/>
                <w:bCs/>
                <w:sz w:val="20"/>
                <w:szCs w:val="20"/>
              </w:rPr>
              <w:t>Grade Range</w:t>
            </w:r>
          </w:p>
        </w:tc>
        <w:tc>
          <w:tcPr>
            <w:tcW w:w="7830" w:type="dxa"/>
            <w:shd w:val="clear" w:color="auto" w:fill="auto"/>
            <w:noWrap/>
            <w:vAlign w:val="center"/>
          </w:tcPr>
          <w:p w14:paraId="44D68823" w14:textId="2D9D3F2B" w:rsidR="00270419" w:rsidRDefault="00A31A39" w:rsidP="004121BE">
            <w:pPr>
              <w:spacing w:after="0" w:line="240" w:lineRule="auto"/>
              <w:rPr>
                <w:rFonts w:ascii="Calibri" w:hAnsi="Calibri"/>
                <w:sz w:val="20"/>
                <w:szCs w:val="20"/>
              </w:rPr>
            </w:pPr>
            <w:r>
              <w:rPr>
                <w:rFonts w:ascii="Calibri" w:hAnsi="Calibri"/>
                <w:sz w:val="20"/>
                <w:szCs w:val="20"/>
              </w:rPr>
              <w:t>Select</w:t>
            </w:r>
            <w:r w:rsidR="00346350" w:rsidRPr="00346350">
              <w:rPr>
                <w:rFonts w:ascii="Calibri" w:hAnsi="Calibri"/>
                <w:sz w:val="20"/>
                <w:szCs w:val="20"/>
              </w:rPr>
              <w:t xml:space="preserve"> the grade(s) that may receive th</w:t>
            </w:r>
            <w:r w:rsidR="00FA254F">
              <w:rPr>
                <w:rFonts w:ascii="Calibri" w:hAnsi="Calibri"/>
                <w:sz w:val="20"/>
                <w:szCs w:val="20"/>
              </w:rPr>
              <w:t>e</w:t>
            </w:r>
            <w:r w:rsidR="00346350" w:rsidRPr="00346350">
              <w:rPr>
                <w:rFonts w:ascii="Calibri" w:hAnsi="Calibri"/>
                <w:sz w:val="20"/>
                <w:szCs w:val="20"/>
              </w:rPr>
              <w:t xml:space="preserve"> service. This causes the service name to appear only for the selected grade(s) when an MSIN user enters service participation dat</w:t>
            </w:r>
            <w:r w:rsidR="00EC436C">
              <w:rPr>
                <w:rFonts w:ascii="Calibri" w:hAnsi="Calibri"/>
                <w:sz w:val="20"/>
                <w:szCs w:val="20"/>
              </w:rPr>
              <w:t>a</w:t>
            </w:r>
            <w:r w:rsidR="00346350" w:rsidRPr="00346350">
              <w:rPr>
                <w:rFonts w:ascii="Calibri" w:hAnsi="Calibri"/>
                <w:sz w:val="20"/>
                <w:szCs w:val="20"/>
              </w:rPr>
              <w:t>.</w:t>
            </w:r>
          </w:p>
        </w:tc>
      </w:tr>
      <w:tr w:rsidR="00B11F38" w14:paraId="29054185" w14:textId="77777777" w:rsidTr="00270419">
        <w:trPr>
          <w:trHeight w:val="300"/>
        </w:trPr>
        <w:tc>
          <w:tcPr>
            <w:tcW w:w="1890" w:type="dxa"/>
            <w:shd w:val="clear" w:color="auto" w:fill="auto"/>
            <w:noWrap/>
            <w:vAlign w:val="center"/>
          </w:tcPr>
          <w:p w14:paraId="5579B8E1" w14:textId="6CBACE51" w:rsidR="00B11F38" w:rsidRDefault="00B11F38" w:rsidP="004121BE">
            <w:pPr>
              <w:spacing w:after="0" w:line="240" w:lineRule="auto"/>
              <w:rPr>
                <w:rFonts w:eastAsia="Times New Roman" w:cstheme="minorHAnsi"/>
                <w:bCs/>
                <w:sz w:val="20"/>
                <w:szCs w:val="20"/>
              </w:rPr>
            </w:pPr>
            <w:r>
              <w:rPr>
                <w:rFonts w:eastAsia="Times New Roman" w:cstheme="minorHAnsi"/>
                <w:bCs/>
                <w:sz w:val="20"/>
                <w:szCs w:val="20"/>
              </w:rPr>
              <w:t>13. Service Periods</w:t>
            </w:r>
          </w:p>
        </w:tc>
        <w:tc>
          <w:tcPr>
            <w:tcW w:w="7830" w:type="dxa"/>
            <w:shd w:val="clear" w:color="auto" w:fill="auto"/>
            <w:noWrap/>
            <w:vAlign w:val="center"/>
          </w:tcPr>
          <w:p w14:paraId="39B67DCF" w14:textId="5BCC6221" w:rsidR="00B11F38" w:rsidRPr="00346350" w:rsidRDefault="00A31A39" w:rsidP="004121BE">
            <w:pPr>
              <w:spacing w:after="0" w:line="240" w:lineRule="auto"/>
              <w:rPr>
                <w:rFonts w:ascii="Calibri" w:hAnsi="Calibri"/>
                <w:sz w:val="20"/>
                <w:szCs w:val="20"/>
              </w:rPr>
            </w:pPr>
            <w:r w:rsidRPr="00A31A39">
              <w:rPr>
                <w:rFonts w:ascii="Calibri" w:hAnsi="Calibri"/>
                <w:sz w:val="20"/>
                <w:szCs w:val="20"/>
              </w:rPr>
              <w:t>Check the service period(s) when this service is offered. Note that this causes the service name to appear only for the selected service period(s) when an MSIN user enters service participation dat</w:t>
            </w:r>
            <w:r w:rsidR="00EC436C">
              <w:rPr>
                <w:rFonts w:ascii="Calibri" w:hAnsi="Calibri"/>
                <w:sz w:val="20"/>
                <w:szCs w:val="20"/>
              </w:rPr>
              <w:t>a</w:t>
            </w:r>
            <w:r w:rsidRPr="00A31A39">
              <w:rPr>
                <w:rFonts w:ascii="Calibri" w:hAnsi="Calibri"/>
                <w:sz w:val="20"/>
                <w:szCs w:val="20"/>
              </w:rPr>
              <w:t>.</w:t>
            </w:r>
          </w:p>
        </w:tc>
      </w:tr>
      <w:tr w:rsidR="00E873D0" w14:paraId="6330E130" w14:textId="77777777" w:rsidTr="00270419">
        <w:trPr>
          <w:trHeight w:val="300"/>
        </w:trPr>
        <w:tc>
          <w:tcPr>
            <w:tcW w:w="1890" w:type="dxa"/>
            <w:shd w:val="clear" w:color="auto" w:fill="auto"/>
            <w:noWrap/>
            <w:vAlign w:val="center"/>
          </w:tcPr>
          <w:p w14:paraId="7519F680" w14:textId="261E2B23" w:rsidR="00E873D0" w:rsidRDefault="00E873D0" w:rsidP="004121BE">
            <w:pPr>
              <w:spacing w:after="0" w:line="240" w:lineRule="auto"/>
              <w:rPr>
                <w:rFonts w:eastAsia="Times New Roman" w:cstheme="minorHAnsi"/>
                <w:bCs/>
                <w:sz w:val="20"/>
                <w:szCs w:val="20"/>
              </w:rPr>
            </w:pPr>
            <w:r>
              <w:rPr>
                <w:rFonts w:eastAsia="Times New Roman" w:cstheme="minorHAnsi"/>
                <w:bCs/>
                <w:sz w:val="20"/>
                <w:szCs w:val="20"/>
              </w:rPr>
              <w:t>1</w:t>
            </w:r>
            <w:r w:rsidR="00B11F38">
              <w:rPr>
                <w:rFonts w:eastAsia="Times New Roman" w:cstheme="minorHAnsi"/>
                <w:bCs/>
                <w:sz w:val="20"/>
                <w:szCs w:val="20"/>
              </w:rPr>
              <w:t>4</w:t>
            </w:r>
            <w:r>
              <w:rPr>
                <w:rFonts w:eastAsia="Times New Roman" w:cstheme="minorHAnsi"/>
                <w:bCs/>
                <w:sz w:val="20"/>
                <w:szCs w:val="20"/>
              </w:rPr>
              <w:t>. Service Status</w:t>
            </w:r>
          </w:p>
        </w:tc>
        <w:tc>
          <w:tcPr>
            <w:tcW w:w="7830" w:type="dxa"/>
            <w:shd w:val="clear" w:color="auto" w:fill="auto"/>
            <w:noWrap/>
            <w:vAlign w:val="center"/>
          </w:tcPr>
          <w:p w14:paraId="304A753A" w14:textId="13566E21" w:rsidR="00E873D0" w:rsidRPr="00E873D0" w:rsidRDefault="00E873D0" w:rsidP="00E873D0">
            <w:pPr>
              <w:spacing w:after="0" w:line="240" w:lineRule="auto"/>
              <w:rPr>
                <w:rFonts w:ascii="Calibri" w:hAnsi="Calibri"/>
                <w:sz w:val="20"/>
                <w:szCs w:val="20"/>
              </w:rPr>
            </w:pPr>
            <w:r w:rsidRPr="00E873D0">
              <w:rPr>
                <w:rFonts w:ascii="Calibri" w:hAnsi="Calibri"/>
                <w:sz w:val="20"/>
                <w:szCs w:val="20"/>
              </w:rPr>
              <w:t xml:space="preserve">Active: The service name will appear in the SERVICE NAME drop-down menu within the service entry screens (Service Participation tab in Child Record </w:t>
            </w:r>
            <w:r w:rsidR="00C6406C">
              <w:rPr>
                <w:rFonts w:ascii="Calibri" w:hAnsi="Calibri"/>
                <w:sz w:val="20"/>
                <w:szCs w:val="20"/>
              </w:rPr>
              <w:t>M</w:t>
            </w:r>
            <w:r w:rsidRPr="00E873D0">
              <w:rPr>
                <w:rFonts w:ascii="Calibri" w:hAnsi="Calibri"/>
                <w:sz w:val="20"/>
                <w:szCs w:val="20"/>
              </w:rPr>
              <w:t>odal and Group Services feature).</w:t>
            </w:r>
          </w:p>
          <w:p w14:paraId="00129027" w14:textId="33800B63" w:rsidR="00E873D0" w:rsidRPr="00346350" w:rsidRDefault="00E873D0" w:rsidP="00E873D0">
            <w:pPr>
              <w:spacing w:after="0" w:line="240" w:lineRule="auto"/>
              <w:rPr>
                <w:rFonts w:ascii="Calibri" w:hAnsi="Calibri"/>
                <w:sz w:val="20"/>
                <w:szCs w:val="20"/>
              </w:rPr>
            </w:pPr>
            <w:r w:rsidRPr="00E873D0">
              <w:rPr>
                <w:rFonts w:ascii="Calibri" w:hAnsi="Calibri"/>
                <w:sz w:val="20"/>
                <w:szCs w:val="20"/>
              </w:rPr>
              <w:t>Inactive: The service name will not appear in any service entry screens.</w:t>
            </w:r>
          </w:p>
        </w:tc>
      </w:tr>
    </w:tbl>
    <w:p w14:paraId="508FFF18" w14:textId="77777777" w:rsidR="00270419" w:rsidRDefault="00270419" w:rsidP="00E40088">
      <w:pPr>
        <w:spacing w:after="0"/>
        <w:ind w:left="-450"/>
      </w:pPr>
    </w:p>
    <w:p w14:paraId="4289B82D" w14:textId="77777777" w:rsidR="00154ADD" w:rsidRDefault="0014553D" w:rsidP="0014553D">
      <w:pPr>
        <w:spacing w:after="0"/>
        <w:ind w:left="-450"/>
      </w:pPr>
      <w:r>
        <w:t xml:space="preserve">When </w:t>
      </w:r>
      <w:r w:rsidR="00CB1B32">
        <w:t xml:space="preserve">creating </w:t>
      </w:r>
      <w:r>
        <w:t>a new service, i</w:t>
      </w:r>
      <w:r w:rsidR="0042659F">
        <w:t>t is important to start at the beginning with the Service Name (</w:t>
      </w:r>
      <w:r w:rsidR="0011670D">
        <w:t xml:space="preserve">item </w:t>
      </w:r>
      <w:r w:rsidR="0042659F">
        <w:t>#2) and follow the numerical order.</w:t>
      </w:r>
    </w:p>
    <w:p w14:paraId="2AC53395" w14:textId="22E638A7" w:rsidR="0014553D" w:rsidRDefault="00A25C4F" w:rsidP="00154ADD">
      <w:pPr>
        <w:spacing w:before="240" w:after="0"/>
        <w:ind w:left="-450"/>
      </w:pPr>
      <w:r>
        <w:t xml:space="preserve">In addition to the </w:t>
      </w:r>
      <w:r w:rsidR="006F009D">
        <w:t>instructions and definitions in t</w:t>
      </w:r>
      <w:r>
        <w:t xml:space="preserve">he table above, which </w:t>
      </w:r>
      <w:r w:rsidR="006F009D">
        <w:t xml:space="preserve">are copies </w:t>
      </w:r>
      <w:r>
        <w:t xml:space="preserve">of the </w:t>
      </w:r>
      <w:r w:rsidR="006F009D">
        <w:t>Help T</w:t>
      </w:r>
      <w:r>
        <w:t xml:space="preserve">ext </w:t>
      </w:r>
      <w:r w:rsidR="00154ADD">
        <w:t xml:space="preserve">for each item </w:t>
      </w:r>
      <w:r w:rsidR="006F009D">
        <w:t xml:space="preserve">in the Creating Service modal, </w:t>
      </w:r>
      <w:r>
        <w:t>please consider the following</w:t>
      </w:r>
      <w:r w:rsidR="00321B2B">
        <w:t xml:space="preserve"> </w:t>
      </w:r>
      <w:r w:rsidR="00FB466D">
        <w:t xml:space="preserve">reminders and </w:t>
      </w:r>
      <w:r w:rsidR="00321B2B">
        <w:t>clarif</w:t>
      </w:r>
      <w:r w:rsidR="00E76121">
        <w:t xml:space="preserve">ications for </w:t>
      </w:r>
      <w:r w:rsidR="007F21A3">
        <w:t xml:space="preserve">the </w:t>
      </w:r>
      <w:r w:rsidR="00E76121">
        <w:t>optional fields</w:t>
      </w:r>
      <w:r>
        <w:t>:</w:t>
      </w:r>
    </w:p>
    <w:p w14:paraId="60CC61F9" w14:textId="77777777" w:rsidR="00897FB9" w:rsidRDefault="00897FB9" w:rsidP="0014553D">
      <w:pPr>
        <w:spacing w:after="0"/>
        <w:ind w:left="-450"/>
      </w:pPr>
    </w:p>
    <w:p w14:paraId="63DC3109" w14:textId="71C8B03D" w:rsidR="0014553D" w:rsidRDefault="00A814DA" w:rsidP="003A7DC3">
      <w:pPr>
        <w:pStyle w:val="ListParagraph"/>
        <w:numPr>
          <w:ilvl w:val="0"/>
          <w:numId w:val="22"/>
        </w:numPr>
        <w:spacing w:after="0"/>
      </w:pPr>
      <w:r>
        <w:t>Item</w:t>
      </w:r>
      <w:r w:rsidR="0042659F">
        <w:t xml:space="preserve"> </w:t>
      </w:r>
      <w:r>
        <w:t>#</w:t>
      </w:r>
      <w:r w:rsidR="0042659F">
        <w:t xml:space="preserve">5, State Service Code, should only be selected if your service aligns with one of the pre-set State Service Codes (consult the </w:t>
      </w:r>
      <w:r w:rsidR="00D25EAC">
        <w:t xml:space="preserve">definitions </w:t>
      </w:r>
      <w:r w:rsidR="0042659F">
        <w:t>provide</w:t>
      </w:r>
      <w:r w:rsidR="00D25EAC">
        <w:t>d</w:t>
      </w:r>
      <w:r w:rsidR="0042659F">
        <w:t xml:space="preserve"> by CDE</w:t>
      </w:r>
      <w:r w:rsidR="00D25EAC">
        <w:t xml:space="preserve"> to clarify any doubts).</w:t>
      </w:r>
      <w:r w:rsidR="00F42EBE">
        <w:t xml:space="preserve"> </w:t>
      </w:r>
      <w:r w:rsidR="0014553D">
        <w:t>If a pre-set State Service Code is selected, the</w:t>
      </w:r>
      <w:r w:rsidR="00397463">
        <w:t>n</w:t>
      </w:r>
      <w:r w:rsidR="0014553D">
        <w:t xml:space="preserve"> most other options on the </w:t>
      </w:r>
      <w:r w:rsidR="00CB1B32" w:rsidRPr="00FB466D">
        <w:rPr>
          <w:rStyle w:val="Emphasis"/>
          <w:i w:val="0"/>
          <w:iCs w:val="0"/>
        </w:rPr>
        <w:t>Creating Service</w:t>
      </w:r>
      <w:r w:rsidR="00CB1B32">
        <w:t xml:space="preserve"> window </w:t>
      </w:r>
      <w:r w:rsidR="0014553D">
        <w:t>will automatically populate. The only remaining steps are to select any applicable SSDP Component</w:t>
      </w:r>
      <w:r w:rsidR="00152016">
        <w:t>s</w:t>
      </w:r>
      <w:r w:rsidR="0014553D">
        <w:t xml:space="preserve"> (</w:t>
      </w:r>
      <w:r>
        <w:t xml:space="preserve">item </w:t>
      </w:r>
      <w:r w:rsidR="0014553D">
        <w:t xml:space="preserve">#7) </w:t>
      </w:r>
      <w:r w:rsidR="00152016">
        <w:t>a</w:t>
      </w:r>
      <w:r w:rsidR="0014553D">
        <w:t xml:space="preserve">nd </w:t>
      </w:r>
      <w:r w:rsidR="00152016">
        <w:t xml:space="preserve">to </w:t>
      </w:r>
      <w:r w:rsidR="0014553D">
        <w:t>select Active or Inactive under Service Status (</w:t>
      </w:r>
      <w:r>
        <w:t xml:space="preserve">item </w:t>
      </w:r>
      <w:r w:rsidR="0014553D">
        <w:t>#</w:t>
      </w:r>
      <w:r w:rsidR="00EC62D4">
        <w:t>14</w:t>
      </w:r>
      <w:r w:rsidR="0014553D">
        <w:t xml:space="preserve">). </w:t>
      </w:r>
    </w:p>
    <w:p w14:paraId="171F2731" w14:textId="77777777" w:rsidR="0014553D" w:rsidRDefault="0014553D" w:rsidP="0014553D">
      <w:pPr>
        <w:spacing w:after="0"/>
        <w:ind w:left="-450"/>
      </w:pPr>
    </w:p>
    <w:p w14:paraId="50B461AE" w14:textId="3B1E0ED2" w:rsidR="00152016" w:rsidRDefault="00A814DA" w:rsidP="003A7DC3">
      <w:pPr>
        <w:pStyle w:val="ListParagraph"/>
        <w:numPr>
          <w:ilvl w:val="0"/>
          <w:numId w:val="22"/>
        </w:numPr>
        <w:spacing w:after="0"/>
      </w:pPr>
      <w:r>
        <w:t>Item</w:t>
      </w:r>
      <w:r w:rsidR="0014553D">
        <w:t xml:space="preserve"> </w:t>
      </w:r>
      <w:r>
        <w:t>#</w:t>
      </w:r>
      <w:r w:rsidR="0014553D">
        <w:t xml:space="preserve">6, Measurable Program Objective, </w:t>
      </w:r>
      <w:r w:rsidR="00FA254F">
        <w:t xml:space="preserve">is only editable when </w:t>
      </w:r>
      <w:r w:rsidR="00CB1B32">
        <w:t xml:space="preserve">item #5 </w:t>
      </w:r>
      <w:r w:rsidR="00FA254F">
        <w:t xml:space="preserve">is skipped. This </w:t>
      </w:r>
      <w:r w:rsidR="0014553D">
        <w:t xml:space="preserve">optional </w:t>
      </w:r>
      <w:r w:rsidR="005551A5">
        <w:t>field</w:t>
      </w:r>
      <w:r w:rsidR="00A07EA2">
        <w:t xml:space="preserve"> </w:t>
      </w:r>
      <w:r w:rsidR="0014553D">
        <w:t xml:space="preserve">should only be </w:t>
      </w:r>
      <w:r w:rsidR="008172C9">
        <w:t xml:space="preserve">used </w:t>
      </w:r>
      <w:r w:rsidR="0014553D">
        <w:t xml:space="preserve">if your service aligns with one of the MPOs in the drop-down menu. If an MPO is </w:t>
      </w:r>
      <w:r w:rsidR="0014553D">
        <w:lastRenderedPageBreak/>
        <w:t xml:space="preserve">selected, most other options on the </w:t>
      </w:r>
      <w:r w:rsidR="00CB1B32" w:rsidRPr="00A734FA">
        <w:rPr>
          <w:rStyle w:val="Emphasis"/>
          <w:i w:val="0"/>
          <w:iCs w:val="0"/>
        </w:rPr>
        <w:t>Creating Service</w:t>
      </w:r>
      <w:r w:rsidR="00CB1B32">
        <w:t xml:space="preserve"> window</w:t>
      </w:r>
      <w:r w:rsidR="0014553D">
        <w:t xml:space="preserve"> will automatically populate. </w:t>
      </w:r>
      <w:r w:rsidR="00152016">
        <w:t>The only remaining steps are to select any applicable SSDP Components (</w:t>
      </w:r>
      <w:r>
        <w:t xml:space="preserve">item </w:t>
      </w:r>
      <w:r w:rsidR="00152016">
        <w:t>#7) and to select Active or Inactive under Service Status (</w:t>
      </w:r>
      <w:r>
        <w:t xml:space="preserve">item </w:t>
      </w:r>
      <w:r w:rsidR="00152016">
        <w:t>#</w:t>
      </w:r>
      <w:r w:rsidR="00EC62D4">
        <w:t>14</w:t>
      </w:r>
      <w:r w:rsidR="00152016">
        <w:t>).</w:t>
      </w:r>
    </w:p>
    <w:p w14:paraId="7D5EC7B2" w14:textId="381FE6C9" w:rsidR="00152016" w:rsidRDefault="00152016" w:rsidP="0014553D">
      <w:pPr>
        <w:spacing w:after="0"/>
        <w:ind w:left="-450"/>
      </w:pPr>
    </w:p>
    <w:p w14:paraId="3AE56EE2" w14:textId="73978633" w:rsidR="00152016" w:rsidRDefault="00A814DA" w:rsidP="003A7DC3">
      <w:pPr>
        <w:pStyle w:val="ListParagraph"/>
        <w:numPr>
          <w:ilvl w:val="0"/>
          <w:numId w:val="22"/>
        </w:numPr>
        <w:spacing w:after="0"/>
      </w:pPr>
      <w:r>
        <w:t>Item #</w:t>
      </w:r>
      <w:r w:rsidR="00152016">
        <w:t xml:space="preserve">7, SSDP Components, may be used in conjunction with any instructional service, regardless of </w:t>
      </w:r>
      <w:r w:rsidR="00CB1B32">
        <w:t>whether</w:t>
      </w:r>
      <w:r w:rsidR="00152016">
        <w:t xml:space="preserve"> it aligns with a State Service Code or a Measurable Program Objective</w:t>
      </w:r>
      <w:r w:rsidR="009B0AE7">
        <w:t xml:space="preserve"> listed in </w:t>
      </w:r>
      <w:r w:rsidR="00CB1B32">
        <w:t>item #</w:t>
      </w:r>
      <w:r w:rsidR="009B0AE7">
        <w:t xml:space="preserve"> 6</w:t>
      </w:r>
      <w:r w:rsidR="00152016">
        <w:t>.</w:t>
      </w:r>
    </w:p>
    <w:p w14:paraId="0AFAC642" w14:textId="51947F28" w:rsidR="009B0AE7" w:rsidRDefault="009B0AE7" w:rsidP="0014553D">
      <w:pPr>
        <w:spacing w:after="0"/>
        <w:ind w:left="-450"/>
      </w:pPr>
    </w:p>
    <w:p w14:paraId="48DF0FAD" w14:textId="00ED3097" w:rsidR="009B0AE7" w:rsidRDefault="009B0AE7" w:rsidP="0014553D">
      <w:pPr>
        <w:spacing w:after="0"/>
        <w:ind w:left="-450"/>
      </w:pPr>
      <w:r>
        <w:t>All other fields are required. If you forget to complete any of the required fields, the system will display red text indicating which field(s) need your attention.</w:t>
      </w:r>
      <w:r w:rsidR="00D63DFF">
        <w:t xml:space="preserve"> Furthermore, please consider the following clarifications for the required fields:</w:t>
      </w:r>
    </w:p>
    <w:p w14:paraId="442B099A" w14:textId="2DFB5CAB" w:rsidR="003B561D" w:rsidRDefault="00981F3B" w:rsidP="003B561D">
      <w:pPr>
        <w:pStyle w:val="ListParagraph"/>
        <w:numPr>
          <w:ilvl w:val="0"/>
          <w:numId w:val="24"/>
        </w:numPr>
        <w:spacing w:before="240" w:after="0"/>
      </w:pPr>
      <w:r>
        <w:t>Regarding #12</w:t>
      </w:r>
      <w:r w:rsidR="002D3F01">
        <w:t xml:space="preserve"> (Grade Range)</w:t>
      </w:r>
      <w:r>
        <w:t xml:space="preserve"> and #13</w:t>
      </w:r>
      <w:r w:rsidR="002D3F01">
        <w:t xml:space="preserve"> (Service Period)</w:t>
      </w:r>
      <w:r>
        <w:t xml:space="preserve">, note that these required fields </w:t>
      </w:r>
      <w:r w:rsidR="00F83597">
        <w:t>influence</w:t>
      </w:r>
      <w:r>
        <w:t xml:space="preserve"> </w:t>
      </w:r>
      <w:r w:rsidR="00F83597">
        <w:t>how service participation data is entered in</w:t>
      </w:r>
      <w:r w:rsidR="00CE306C">
        <w:t xml:space="preserve"> </w:t>
      </w:r>
      <w:r w:rsidR="00F83597">
        <w:t xml:space="preserve">MSIN by users with the Data Specialist and Student Services roles. </w:t>
      </w:r>
      <w:r w:rsidR="009376B0">
        <w:t xml:space="preserve">For example, if a service is set up with grades P3-P5, then the service will only appear in the service entry </w:t>
      </w:r>
      <w:r w:rsidR="00915FCC">
        <w:t>screens</w:t>
      </w:r>
      <w:r w:rsidR="009376B0">
        <w:t xml:space="preserve"> if the child is enrolled in those grades. Similarly, if a service is set up with only Summer selected </w:t>
      </w:r>
      <w:r w:rsidR="000949C1">
        <w:t xml:space="preserve">under #13, then that service will only show up as an option when Summer is also selected in the service entry </w:t>
      </w:r>
      <w:r w:rsidR="00915FCC">
        <w:t>screens</w:t>
      </w:r>
      <w:r w:rsidR="000949C1">
        <w:t xml:space="preserve"> (under the Service Participation tab for </w:t>
      </w:r>
      <w:r w:rsidR="00E76CC9">
        <w:t xml:space="preserve">an </w:t>
      </w:r>
      <w:r w:rsidR="000949C1">
        <w:t xml:space="preserve">individual child or the Group Services page for </w:t>
      </w:r>
      <w:r w:rsidR="00E76CC9">
        <w:t xml:space="preserve">groups of children). </w:t>
      </w:r>
      <w:r w:rsidR="00915FCC">
        <w:t xml:space="preserve">This “filtering” helps staff </w:t>
      </w:r>
      <w:r w:rsidR="004825C9">
        <w:t xml:space="preserve">who </w:t>
      </w:r>
      <w:r w:rsidR="00915FCC">
        <w:t xml:space="preserve">are entering service participation data </w:t>
      </w:r>
      <w:r w:rsidR="004825C9">
        <w:t>because they o</w:t>
      </w:r>
      <w:r w:rsidR="00915FCC">
        <w:t>nly see the relevant services, based on matching grade and service period.</w:t>
      </w:r>
    </w:p>
    <w:p w14:paraId="22785560" w14:textId="77777777" w:rsidR="003B561D" w:rsidRDefault="003B561D" w:rsidP="003B561D">
      <w:pPr>
        <w:spacing w:after="0"/>
      </w:pPr>
    </w:p>
    <w:p w14:paraId="7FA60475" w14:textId="15E58DA9" w:rsidR="00E30226" w:rsidRDefault="002D021B" w:rsidP="00E40088">
      <w:pPr>
        <w:pStyle w:val="Heading1"/>
        <w:spacing w:before="0"/>
        <w:ind w:left="-450"/>
      </w:pPr>
      <w:r>
        <w:t>Common Service Set-up Scenarios</w:t>
      </w:r>
      <w:r w:rsidR="00B77842">
        <w:t xml:space="preserve"> </w:t>
      </w:r>
      <w:r w:rsidR="00B77842" w:rsidRPr="00B77842">
        <w:rPr>
          <w:sz w:val="28"/>
          <w:szCs w:val="28"/>
        </w:rPr>
        <w:t>(Regional Administrators, Data Specialists)</w:t>
      </w:r>
    </w:p>
    <w:p w14:paraId="307AE1BE" w14:textId="3EA61C30" w:rsidR="00BA5C03" w:rsidRDefault="00BA5C03" w:rsidP="002D021B">
      <w:pPr>
        <w:spacing w:after="0"/>
        <w:ind w:left="-450"/>
      </w:pPr>
      <w:r>
        <w:t xml:space="preserve">MSIN </w:t>
      </w:r>
      <w:r w:rsidR="002176CB">
        <w:t xml:space="preserve">can </w:t>
      </w:r>
      <w:r>
        <w:t>accommodate different approaches to aligning the services on your grant application(s) to the services used by data entry staff to record student participation. Four common service set-up scenarios are described below.</w:t>
      </w:r>
      <w:r w:rsidR="002176CB">
        <w:t xml:space="preserve"> You may use all four or any combination that best suits your local needs.</w:t>
      </w:r>
    </w:p>
    <w:p w14:paraId="1F773B20" w14:textId="77777777" w:rsidR="00D51E51" w:rsidRDefault="00D51E51" w:rsidP="002D021B">
      <w:pPr>
        <w:spacing w:after="0"/>
        <w:ind w:left="-450"/>
      </w:pPr>
    </w:p>
    <w:p w14:paraId="3286034C" w14:textId="5B3D7969" w:rsidR="00D51E51" w:rsidRPr="001B4CF3" w:rsidRDefault="00AE4B69" w:rsidP="00AE4B69">
      <w:pPr>
        <w:pStyle w:val="Heading2"/>
      </w:pPr>
      <w:r w:rsidRPr="00AE4B69">
        <w:rPr>
          <w:b w:val="0"/>
          <w:smallCaps w:val="0"/>
        </w:rPr>
        <w:t>1.</w:t>
      </w:r>
      <w:r>
        <w:t xml:space="preserve"> </w:t>
      </w:r>
      <w:r w:rsidR="00D51E51" w:rsidRPr="001B4CF3">
        <w:t>The subgrantee would like to use an existing State Service Code “as-is.” No set-up is needed.</w:t>
      </w:r>
    </w:p>
    <w:p w14:paraId="3FB1F64D" w14:textId="40C24B43" w:rsidR="00AE4B69" w:rsidRPr="00BB41AE" w:rsidRDefault="008B422B" w:rsidP="00BB41AE">
      <w:r w:rsidRPr="00BB41AE">
        <w:t xml:space="preserve">If </w:t>
      </w:r>
      <w:r w:rsidR="00E30505" w:rsidRPr="00BB41AE">
        <w:t xml:space="preserve">a service in your application(s) </w:t>
      </w:r>
      <w:r w:rsidRPr="00BB41AE">
        <w:t>happens to match</w:t>
      </w:r>
      <w:r w:rsidR="00E30505" w:rsidRPr="00BB41AE">
        <w:t xml:space="preserve"> a </w:t>
      </w:r>
      <w:r w:rsidRPr="00BB41AE">
        <w:t xml:space="preserve">pre-set State Service Code, then it is not necessary to create a new service. You </w:t>
      </w:r>
      <w:r w:rsidR="00114987" w:rsidRPr="00BB41AE">
        <w:t xml:space="preserve">can begin using the State Service Code “as-is” simply by ensuring </w:t>
      </w:r>
      <w:r w:rsidRPr="00BB41AE">
        <w:t xml:space="preserve">that the service is Active. </w:t>
      </w:r>
      <w:r w:rsidR="00114987" w:rsidRPr="00BB41AE">
        <w:t xml:space="preserve">At the same time, </w:t>
      </w:r>
      <w:r w:rsidR="00397463" w:rsidRPr="00BB41AE">
        <w:t xml:space="preserve">we recommend that you </w:t>
      </w:r>
      <w:r w:rsidRPr="00BB41AE">
        <w:t xml:space="preserve">disable the State Service Codes that you </w:t>
      </w:r>
      <w:r w:rsidR="00397463" w:rsidRPr="00BB41AE">
        <w:t xml:space="preserve">will </w:t>
      </w:r>
      <w:r w:rsidRPr="00BB41AE">
        <w:t>not use (see “Enabling and Disabling Services” above for details).</w:t>
      </w:r>
    </w:p>
    <w:p w14:paraId="50401C18" w14:textId="5690E468" w:rsidR="00E30505" w:rsidRPr="001B4CF3" w:rsidRDefault="00973B67" w:rsidP="00973B67">
      <w:pPr>
        <w:pStyle w:val="Heading2"/>
      </w:pPr>
      <w:r>
        <w:t xml:space="preserve">2. </w:t>
      </w:r>
      <w:r w:rsidR="00E30505" w:rsidRPr="001B4CF3">
        <w:t>The subgrantee considers their local service to be a variation of an existing State Service Code.</w:t>
      </w:r>
    </w:p>
    <w:p w14:paraId="4682B20A" w14:textId="7220D6C8" w:rsidR="00E30505" w:rsidRPr="001B4CF3" w:rsidRDefault="00E30505" w:rsidP="00973B67">
      <w:r>
        <w:t>In this case, you can create your own Service Name (</w:t>
      </w:r>
      <w:r w:rsidR="00801F54">
        <w:t xml:space="preserve">item </w:t>
      </w:r>
      <w:r>
        <w:t>#2), Description (</w:t>
      </w:r>
      <w:r w:rsidR="00801F54">
        <w:t xml:space="preserve">item </w:t>
      </w:r>
      <w:r>
        <w:t>#3), Local Code Number (</w:t>
      </w:r>
      <w:r w:rsidR="00801F54">
        <w:t xml:space="preserve">item </w:t>
      </w:r>
      <w:r>
        <w:t>#4), and then select the applicable State Service Code (</w:t>
      </w:r>
      <w:r w:rsidR="00801F54">
        <w:t xml:space="preserve">item </w:t>
      </w:r>
      <w:r>
        <w:t>#5). The State Service Code selection will automatically populate</w:t>
      </w:r>
      <w:r w:rsidRPr="00D51E51">
        <w:t xml:space="preserve"> </w:t>
      </w:r>
      <w:r>
        <w:t>most of the remaining options. Th</w:t>
      </w:r>
      <w:r w:rsidR="00B90E9F">
        <w:t xml:space="preserve">e advantages </w:t>
      </w:r>
      <w:r w:rsidR="00A11B5C">
        <w:t xml:space="preserve">of this approach </w:t>
      </w:r>
      <w:r w:rsidR="00B90E9F">
        <w:t>are that you can use the same Service Name as your grant application (which your local staff may already recognize) and you can use the same Description as your grant application. This makes it easier to see the correspondence between the planning component (grant application) and the reporting component (service entry in</w:t>
      </w:r>
      <w:r w:rsidR="00CE306C">
        <w:t xml:space="preserve"> </w:t>
      </w:r>
      <w:r w:rsidR="00B90E9F">
        <w:t xml:space="preserve">MSIN). </w:t>
      </w:r>
    </w:p>
    <w:p w14:paraId="227FB097" w14:textId="65420015" w:rsidR="00E30505" w:rsidRPr="00E30505" w:rsidRDefault="00973B67" w:rsidP="00973B67">
      <w:pPr>
        <w:pStyle w:val="Heading2"/>
        <w:spacing w:line="240" w:lineRule="auto"/>
      </w:pPr>
      <w:r>
        <w:lastRenderedPageBreak/>
        <w:t xml:space="preserve">3. </w:t>
      </w:r>
      <w:r w:rsidR="00E30505" w:rsidRPr="00E30505">
        <w:t xml:space="preserve">The subgrantee </w:t>
      </w:r>
      <w:r w:rsidR="00E30505">
        <w:t xml:space="preserve">thinks </w:t>
      </w:r>
      <w:r w:rsidR="00E30505" w:rsidRPr="00E30505">
        <w:t xml:space="preserve">their local service </w:t>
      </w:r>
      <w:r w:rsidR="00E30505">
        <w:t xml:space="preserve">is </w:t>
      </w:r>
      <w:r w:rsidR="00E30505" w:rsidRPr="00E30505">
        <w:t>different from all State Service Codes but it still addresses a</w:t>
      </w:r>
      <w:r w:rsidR="00E30505">
        <w:t xml:space="preserve"> Measurable Program Objective</w:t>
      </w:r>
      <w:r w:rsidR="00E30505" w:rsidRPr="00E30505">
        <w:t>.</w:t>
      </w:r>
    </w:p>
    <w:p w14:paraId="15528713" w14:textId="46530252" w:rsidR="00E30505" w:rsidRPr="00E30505" w:rsidRDefault="00E30505" w:rsidP="00973B67">
      <w:pPr>
        <w:spacing w:before="240"/>
      </w:pPr>
      <w:r w:rsidRPr="00E30505">
        <w:t>When using this approach, you would create your own Service Name (</w:t>
      </w:r>
      <w:r w:rsidR="00801F54">
        <w:t xml:space="preserve">item </w:t>
      </w:r>
      <w:r w:rsidRPr="00E30505">
        <w:t>#2), Description (</w:t>
      </w:r>
      <w:r w:rsidR="00801F54">
        <w:t xml:space="preserve">item </w:t>
      </w:r>
      <w:r w:rsidRPr="00E30505">
        <w:t>#3</w:t>
      </w:r>
      <w:r w:rsidR="008172C9">
        <w:t>)</w:t>
      </w:r>
      <w:r w:rsidRPr="00E30505">
        <w:t>, Local Code Number (</w:t>
      </w:r>
      <w:r w:rsidR="00801F54">
        <w:t xml:space="preserve">item </w:t>
      </w:r>
      <w:r w:rsidRPr="00E30505">
        <w:t>#4), and then select the applicable Measurable Program Objective (</w:t>
      </w:r>
      <w:r w:rsidR="00801F54">
        <w:t xml:space="preserve">item </w:t>
      </w:r>
      <w:r w:rsidRPr="00E30505">
        <w:t>#6). Note that this entails skipping the State Service Code drop-down menu and then selecting an applicable MPO instead. Most of the remaining options will automatically populate.</w:t>
      </w:r>
    </w:p>
    <w:p w14:paraId="4B61437F" w14:textId="207990AC" w:rsidR="00E30505" w:rsidRPr="001B4CF3" w:rsidRDefault="00973B67" w:rsidP="00973B67">
      <w:pPr>
        <w:pStyle w:val="Heading2"/>
        <w:spacing w:line="240" w:lineRule="auto"/>
      </w:pPr>
      <w:r>
        <w:t xml:space="preserve">4. </w:t>
      </w:r>
      <w:r w:rsidR="00E30505" w:rsidRPr="001B4CF3">
        <w:t>The subgrantee thinks their local service does not match a State Service Code or an MPO but it meets the definition of “service” provided in Guidance</w:t>
      </w:r>
      <w:r w:rsidR="00C47D8D">
        <w:t>.</w:t>
      </w:r>
      <w:r w:rsidR="007031A5">
        <w:rPr>
          <w:rStyle w:val="FootnoteReference"/>
          <w:bCs/>
        </w:rPr>
        <w:footnoteReference w:id="2"/>
      </w:r>
    </w:p>
    <w:p w14:paraId="6D674004" w14:textId="7B8DD75A" w:rsidR="00E30505" w:rsidRDefault="00E30505" w:rsidP="00AD5F67">
      <w:pPr>
        <w:spacing w:before="240"/>
      </w:pPr>
      <w:r>
        <w:t xml:space="preserve">This is like approaches 2 and 3 above, but you would not select a State Service Code or a Measurable Program Objective. All other fields should be selected manually, unless they are </w:t>
      </w:r>
      <w:r w:rsidR="008172C9">
        <w:t xml:space="preserve">not editable </w:t>
      </w:r>
      <w:r>
        <w:t xml:space="preserve">(such as </w:t>
      </w:r>
      <w:r w:rsidR="00801F54">
        <w:t xml:space="preserve">item </w:t>
      </w:r>
      <w:r>
        <w:t>#8, Require Service Hours).</w:t>
      </w:r>
    </w:p>
    <w:p w14:paraId="4389C1F3" w14:textId="157F50F8" w:rsidR="00A11B5C" w:rsidRDefault="00261889" w:rsidP="00D51E51">
      <w:pPr>
        <w:spacing w:after="0"/>
        <w:ind w:left="-450"/>
      </w:pPr>
      <w:r>
        <w:t>For more details and c</w:t>
      </w:r>
      <w:r w:rsidR="00A11B5C">
        <w:t>oncrete examples of approaches 2-4</w:t>
      </w:r>
      <w:r>
        <w:t xml:space="preserve">, please </w:t>
      </w:r>
      <w:r w:rsidR="008172C9">
        <w:t xml:space="preserve">view </w:t>
      </w:r>
      <w:r>
        <w:t xml:space="preserve">the “How-To Videos” found in the </w:t>
      </w:r>
      <w:r w:rsidR="00865A9F">
        <w:t>California Migrant Education Program Help Center (</w:t>
      </w:r>
      <w:hyperlink r:id="rId14" w:history="1">
        <w:r w:rsidR="00B42C48" w:rsidRPr="00B42C48">
          <w:rPr>
            <w:rStyle w:val="Hyperlink"/>
          </w:rPr>
          <w:t>https://mephelpcenter.wested.org/hc/en-us/articles/7918499676692-How-To-Videos-Services-Service-Administration-and-the-SSDP</w:t>
        </w:r>
      </w:hyperlink>
      <w:r w:rsidR="00B42C48">
        <w:t>)</w:t>
      </w:r>
      <w:r w:rsidR="00A11B5C">
        <w:t>.</w:t>
      </w:r>
    </w:p>
    <w:p w14:paraId="2E2E8DCC" w14:textId="77777777" w:rsidR="00801F54" w:rsidRDefault="00801F54" w:rsidP="002D021B">
      <w:pPr>
        <w:spacing w:after="0"/>
        <w:ind w:left="-450"/>
      </w:pPr>
    </w:p>
    <w:p w14:paraId="6EF5EA00" w14:textId="7E3481E5" w:rsidR="00E30226" w:rsidRPr="00B77842" w:rsidRDefault="00EC4C43" w:rsidP="00801F54">
      <w:pPr>
        <w:pStyle w:val="Heading1"/>
        <w:spacing w:before="0"/>
        <w:ind w:left="-446"/>
        <w:rPr>
          <w:sz w:val="28"/>
          <w:szCs w:val="28"/>
        </w:rPr>
      </w:pPr>
      <w:bookmarkStart w:id="2" w:name="_Hlk147827239"/>
      <w:r>
        <w:t xml:space="preserve">Additional </w:t>
      </w:r>
      <w:r w:rsidR="00DF4F43">
        <w:t>Resources</w:t>
      </w:r>
    </w:p>
    <w:p w14:paraId="379F5E09" w14:textId="0421CB87" w:rsidR="00EC4C43" w:rsidRDefault="00EC4C43" w:rsidP="00EC4C43">
      <w:pPr>
        <w:spacing w:after="0"/>
        <w:ind w:left="-450"/>
      </w:pPr>
      <w:r>
        <w:t xml:space="preserve">Before </w:t>
      </w:r>
      <w:r w:rsidR="00692833">
        <w:t xml:space="preserve">creating new services </w:t>
      </w:r>
      <w:r>
        <w:t>in the production MSIN site, we recommend practicing in the Training M</w:t>
      </w:r>
      <w:r w:rsidRPr="00033983">
        <w:t>SIN site (</w:t>
      </w:r>
      <w:hyperlink r:id="rId15" w:history="1">
        <w:r w:rsidR="004175C6" w:rsidRPr="004175C6">
          <w:rPr>
            <w:rStyle w:val="Hyperlink"/>
          </w:rPr>
          <w:t>https://trainingmsin.wested.org/</w:t>
        </w:r>
      </w:hyperlink>
      <w:r w:rsidRPr="00033983">
        <w:t xml:space="preserve">). </w:t>
      </w:r>
      <w:r>
        <w:t xml:space="preserve">Training MSIN is a safe place to try </w:t>
      </w:r>
      <w:r w:rsidR="00692833">
        <w:t xml:space="preserve">the </w:t>
      </w:r>
      <w:r>
        <w:t xml:space="preserve">different </w:t>
      </w:r>
      <w:r w:rsidR="00692833">
        <w:t>service set</w:t>
      </w:r>
      <w:r w:rsidR="00F86C58">
        <w:t>-</w:t>
      </w:r>
      <w:r w:rsidR="00692833">
        <w:t xml:space="preserve">up scenarios described above. </w:t>
      </w:r>
      <w:r>
        <w:t xml:space="preserve">In addition, we always recommend referencing the </w:t>
      </w:r>
      <w:r w:rsidR="00F86C58">
        <w:t>H</w:t>
      </w:r>
      <w:r>
        <w:t xml:space="preserve">elp </w:t>
      </w:r>
      <w:r w:rsidR="00F86C58">
        <w:t>T</w:t>
      </w:r>
      <w:r>
        <w:t xml:space="preserve">ext found next to each </w:t>
      </w:r>
      <w:r w:rsidR="00A36B5D">
        <w:t xml:space="preserve">item in the </w:t>
      </w:r>
      <w:r w:rsidR="00A36B5D" w:rsidRPr="00F86C58">
        <w:rPr>
          <w:rStyle w:val="Emphasis"/>
          <w:i w:val="0"/>
          <w:iCs w:val="0"/>
        </w:rPr>
        <w:t>Creating Service</w:t>
      </w:r>
      <w:r w:rsidR="00A36B5D">
        <w:t xml:space="preserve"> </w:t>
      </w:r>
      <w:r w:rsidR="00BF4DC2">
        <w:t>window</w:t>
      </w:r>
      <w:r w:rsidR="00DF256C">
        <w:t>.</w:t>
      </w:r>
      <w:r>
        <w:t xml:space="preserve"> </w:t>
      </w:r>
    </w:p>
    <w:p w14:paraId="77E74D7E" w14:textId="48386734" w:rsidR="00EC4C43" w:rsidRDefault="00EC4C43" w:rsidP="00AD5F67">
      <w:pPr>
        <w:spacing w:before="240" w:after="0"/>
        <w:ind w:left="-450"/>
      </w:pPr>
      <w:r>
        <w:t xml:space="preserve">If you have specific questions not covered in this guide, please consult with your local </w:t>
      </w:r>
      <w:r w:rsidR="00DF256C">
        <w:t xml:space="preserve">team of </w:t>
      </w:r>
      <w:r>
        <w:t>MSIN Power Users</w:t>
      </w:r>
      <w:r w:rsidR="00DF256C">
        <w:t>, Managers, and fellow Data Specialists</w:t>
      </w:r>
      <w:r>
        <w:t xml:space="preserve">. </w:t>
      </w:r>
      <w:r w:rsidR="004175C6">
        <w:t>You are welcome to submit a</w:t>
      </w:r>
      <w:r>
        <w:t>ny remaining questions to the MSIN Service Desk by email (</w:t>
      </w:r>
      <w:hyperlink r:id="rId16" w:history="1">
        <w:r w:rsidRPr="00EC4C43">
          <w:t>msinsupport@wested.org</w:t>
        </w:r>
      </w:hyperlink>
      <w:r>
        <w:t>) or phone (</w:t>
      </w:r>
      <w:r w:rsidRPr="00DA2533">
        <w:t xml:space="preserve">1-800-342-2964, option </w:t>
      </w:r>
      <w:r>
        <w:t>2).</w:t>
      </w:r>
    </w:p>
    <w:bookmarkEnd w:id="2"/>
    <w:p w14:paraId="75A71411" w14:textId="7F94CCE3" w:rsidR="004B090D" w:rsidRDefault="004B090D" w:rsidP="00EC4C43">
      <w:pPr>
        <w:ind w:left="-450"/>
      </w:pPr>
    </w:p>
    <w:sectPr w:rsidR="004B090D" w:rsidSect="00550C6E">
      <w:headerReference w:type="default" r:id="rId17"/>
      <w:footerReference w:type="default" r:id="rId18"/>
      <w:pgSz w:w="12240" w:h="15840"/>
      <w:pgMar w:top="1627"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1476E" w14:textId="77777777" w:rsidR="00F12E74" w:rsidRDefault="00F12E74" w:rsidP="009F02DA">
      <w:pPr>
        <w:spacing w:after="0" w:line="240" w:lineRule="auto"/>
      </w:pPr>
      <w:r>
        <w:separator/>
      </w:r>
    </w:p>
  </w:endnote>
  <w:endnote w:type="continuationSeparator" w:id="0">
    <w:p w14:paraId="57FD1557" w14:textId="77777777" w:rsidR="00F12E74" w:rsidRDefault="00F12E74" w:rsidP="009F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155038"/>
      <w:docPartObj>
        <w:docPartGallery w:val="Page Numbers (Bottom of Page)"/>
        <w:docPartUnique/>
      </w:docPartObj>
    </w:sdtPr>
    <w:sdtEndPr>
      <w:rPr>
        <w:noProof/>
      </w:rPr>
    </w:sdtEndPr>
    <w:sdtContent>
      <w:p w14:paraId="34D6BEEF" w14:textId="15C9BEE6" w:rsidR="00F35A25" w:rsidRDefault="00F35A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7A196" w14:textId="676E6065" w:rsidR="00F35A25" w:rsidRPr="0021511A" w:rsidRDefault="00F35A25" w:rsidP="0021511A">
    <w:pPr>
      <w:pStyle w:val="Footer"/>
      <w:jc w:val="center"/>
      <w:rPr>
        <w:sz w:val="16"/>
        <w:szCs w:val="16"/>
      </w:rPr>
    </w:pPr>
    <w:r>
      <w:rPr>
        <w:sz w:val="16"/>
        <w:szCs w:val="16"/>
      </w:rPr>
      <w:tab/>
    </w:r>
    <w:r>
      <w:rPr>
        <w:sz w:val="16"/>
        <w:szCs w:val="16"/>
      </w:rPr>
      <w:tab/>
      <w:t>Last Saved:</w:t>
    </w:r>
    <w:r w:rsidRPr="0021511A">
      <w:rPr>
        <w:sz w:val="16"/>
        <w:szCs w:val="16"/>
      </w:rPr>
      <w:fldChar w:fldCharType="begin"/>
    </w:r>
    <w:r w:rsidRPr="0021511A">
      <w:rPr>
        <w:sz w:val="16"/>
        <w:szCs w:val="16"/>
      </w:rPr>
      <w:instrText xml:space="preserve"> SAVEDATE   \* MERGEFORMAT </w:instrText>
    </w:r>
    <w:r w:rsidRPr="0021511A">
      <w:rPr>
        <w:sz w:val="16"/>
        <w:szCs w:val="16"/>
      </w:rPr>
      <w:fldChar w:fldCharType="separate"/>
    </w:r>
    <w:r w:rsidR="003C7A18">
      <w:rPr>
        <w:noProof/>
        <w:sz w:val="16"/>
        <w:szCs w:val="16"/>
      </w:rPr>
      <w:t>10/11/2023 10:13:00 AM</w:t>
    </w:r>
    <w:r w:rsidRPr="0021511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4FAA" w14:textId="77777777" w:rsidR="00F12E74" w:rsidRDefault="00F12E74" w:rsidP="009F02DA">
      <w:pPr>
        <w:spacing w:after="0" w:line="240" w:lineRule="auto"/>
      </w:pPr>
      <w:r>
        <w:separator/>
      </w:r>
    </w:p>
  </w:footnote>
  <w:footnote w:type="continuationSeparator" w:id="0">
    <w:p w14:paraId="1CCF2B72" w14:textId="77777777" w:rsidR="00F12E74" w:rsidRDefault="00F12E74" w:rsidP="009F02DA">
      <w:pPr>
        <w:spacing w:after="0" w:line="240" w:lineRule="auto"/>
      </w:pPr>
      <w:r>
        <w:continuationSeparator/>
      </w:r>
    </w:p>
  </w:footnote>
  <w:footnote w:id="1">
    <w:p w14:paraId="41C06B53" w14:textId="4582B7AF" w:rsidR="00897FB9" w:rsidRDefault="00897FB9">
      <w:pPr>
        <w:pStyle w:val="FootnoteText"/>
      </w:pPr>
      <w:r>
        <w:rPr>
          <w:rStyle w:val="FootnoteReference"/>
        </w:rPr>
        <w:footnoteRef/>
      </w:r>
      <w:r>
        <w:t xml:space="preserve"> These definitions are based on files specifications provided by the U.S. Department of Education (ED) for annual federal reporting purposes, particularly FS145 (</w:t>
      </w:r>
      <w:r w:rsidRPr="00897FB9">
        <w:t>https://www2.ed.gov/about/inits/ed/edfacts/file-specifications.html</w:t>
      </w:r>
      <w:r>
        <w:t>).</w:t>
      </w:r>
    </w:p>
  </w:footnote>
  <w:footnote w:id="2">
    <w:p w14:paraId="518754DF" w14:textId="67D25BDC" w:rsidR="007031A5" w:rsidRDefault="007031A5" w:rsidP="00EC4C43">
      <w:pPr>
        <w:pStyle w:val="FootnoteText"/>
      </w:pPr>
      <w:r>
        <w:rPr>
          <w:rStyle w:val="FootnoteReference"/>
        </w:rPr>
        <w:footnoteRef/>
      </w:r>
      <w:r>
        <w:t xml:space="preserve"> </w:t>
      </w:r>
      <w:r w:rsidRPr="0015423A">
        <w:rPr>
          <w:szCs w:val="22"/>
        </w:rPr>
        <w:t xml:space="preserve">U.S. Department of Education, Office of Elementary and Secondary Education, Office of Migrant Education, </w:t>
      </w:r>
      <w:r w:rsidRPr="0015423A">
        <w:rPr>
          <w:i/>
          <w:szCs w:val="22"/>
        </w:rPr>
        <w:t>Non-Regulatory Guidance for the Title I, Part C Education of Migratory Children</w:t>
      </w:r>
      <w:r w:rsidRPr="0015423A">
        <w:rPr>
          <w:szCs w:val="22"/>
        </w:rPr>
        <w:t>, Washington, D.C.,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F92C" w14:textId="77777777" w:rsidR="00F35A25" w:rsidRPr="009F02DA" w:rsidRDefault="00F35A25" w:rsidP="009F02DA">
    <w:pPr>
      <w:pStyle w:val="Header"/>
      <w:ind w:left="-540"/>
    </w:pPr>
    <w:r>
      <w:rPr>
        <w:noProof/>
      </w:rPr>
      <w:drawing>
        <wp:inline distT="0" distB="0" distL="0" distR="0" wp14:anchorId="332A0CAA" wp14:editId="7F02AF89">
          <wp:extent cx="1954335" cy="539276"/>
          <wp:effectExtent l="0" t="0" r="8255" b="0"/>
          <wp:docPr id="1073071439" name="Picture 1073071439" descr="Migrant Student Information Network (M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grant Student Information Network (MSIN) logo."/>
                  <pic:cNvPicPr/>
                </pic:nvPicPr>
                <pic:blipFill>
                  <a:blip r:embed="rId1">
                    <a:extLst>
                      <a:ext uri="{28A0092B-C50C-407E-A947-70E740481C1C}">
                        <a14:useLocalDpi xmlns:a14="http://schemas.microsoft.com/office/drawing/2010/main" val="0"/>
                      </a:ext>
                    </a:extLst>
                  </a:blip>
                  <a:srcRect t="8036" b="8036"/>
                  <a:stretch>
                    <a:fillRect/>
                  </a:stretch>
                </pic:blipFill>
                <pic:spPr bwMode="auto">
                  <a:xfrm>
                    <a:off x="0" y="0"/>
                    <a:ext cx="1954335" cy="5392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16B"/>
    <w:multiLevelType w:val="hybridMultilevel"/>
    <w:tmpl w:val="BD7E318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46F562F"/>
    <w:multiLevelType w:val="hybridMultilevel"/>
    <w:tmpl w:val="1F2432E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7777F75"/>
    <w:multiLevelType w:val="hybridMultilevel"/>
    <w:tmpl w:val="1B141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854FC"/>
    <w:multiLevelType w:val="hybridMultilevel"/>
    <w:tmpl w:val="52FC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A460E"/>
    <w:multiLevelType w:val="hybridMultilevel"/>
    <w:tmpl w:val="AA7AA09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10B778F"/>
    <w:multiLevelType w:val="hybridMultilevel"/>
    <w:tmpl w:val="F56AA7C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7A4134A"/>
    <w:multiLevelType w:val="hybridMultilevel"/>
    <w:tmpl w:val="6764C9A0"/>
    <w:lvl w:ilvl="0" w:tplc="0412734A">
      <w:numFmt w:val="bullet"/>
      <w:lvlText w:val="•"/>
      <w:lvlJc w:val="left"/>
      <w:pPr>
        <w:ind w:left="0" w:hanging="450"/>
      </w:pPr>
      <w:rPr>
        <w:rFonts w:ascii="Calibri" w:eastAsiaTheme="minorHAnsi" w:hAnsi="Calibri" w:cstheme="minorBid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18E422CA"/>
    <w:multiLevelType w:val="hybridMultilevel"/>
    <w:tmpl w:val="B890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F024C"/>
    <w:multiLevelType w:val="hybridMultilevel"/>
    <w:tmpl w:val="9A46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61E4D"/>
    <w:multiLevelType w:val="hybridMultilevel"/>
    <w:tmpl w:val="43A8F61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2CB42EDB"/>
    <w:multiLevelType w:val="hybridMultilevel"/>
    <w:tmpl w:val="7A20B93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15:restartNumberingAfterBreak="0">
    <w:nsid w:val="300D1025"/>
    <w:multiLevelType w:val="hybridMultilevel"/>
    <w:tmpl w:val="C9E6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A342A"/>
    <w:multiLevelType w:val="hybridMultilevel"/>
    <w:tmpl w:val="52FC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165E9"/>
    <w:multiLevelType w:val="hybridMultilevel"/>
    <w:tmpl w:val="52FCF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E6C11"/>
    <w:multiLevelType w:val="hybridMultilevel"/>
    <w:tmpl w:val="F53C853A"/>
    <w:lvl w:ilvl="0" w:tplc="B9988EF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3B090943"/>
    <w:multiLevelType w:val="hybridMultilevel"/>
    <w:tmpl w:val="FB023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50CAC"/>
    <w:multiLevelType w:val="hybridMultilevel"/>
    <w:tmpl w:val="BEA44356"/>
    <w:lvl w:ilvl="0" w:tplc="0412734A">
      <w:numFmt w:val="bullet"/>
      <w:lvlText w:val="•"/>
      <w:lvlJc w:val="left"/>
      <w:pPr>
        <w:ind w:left="450" w:hanging="450"/>
      </w:pPr>
      <w:rPr>
        <w:rFonts w:ascii="Calibri" w:eastAsiaTheme="minorHAnsi"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A667AEA"/>
    <w:multiLevelType w:val="hybridMultilevel"/>
    <w:tmpl w:val="A28E90EE"/>
    <w:lvl w:ilvl="0" w:tplc="6010B92E">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8" w15:restartNumberingAfterBreak="0">
    <w:nsid w:val="5A827D36"/>
    <w:multiLevelType w:val="hybridMultilevel"/>
    <w:tmpl w:val="92DA1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A11E2A"/>
    <w:multiLevelType w:val="hybridMultilevel"/>
    <w:tmpl w:val="EFF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E63F3"/>
    <w:multiLevelType w:val="hybridMultilevel"/>
    <w:tmpl w:val="5CA0D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4E10EA"/>
    <w:multiLevelType w:val="hybridMultilevel"/>
    <w:tmpl w:val="04A8E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31FB3"/>
    <w:multiLevelType w:val="hybridMultilevel"/>
    <w:tmpl w:val="893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14389"/>
    <w:multiLevelType w:val="hybridMultilevel"/>
    <w:tmpl w:val="46F8108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7C9074E0"/>
    <w:multiLevelType w:val="hybridMultilevel"/>
    <w:tmpl w:val="F50C814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874809899">
    <w:abstractNumId w:val="15"/>
  </w:num>
  <w:num w:numId="2" w16cid:durableId="1803382845">
    <w:abstractNumId w:val="12"/>
  </w:num>
  <w:num w:numId="3" w16cid:durableId="1870753926">
    <w:abstractNumId w:val="8"/>
  </w:num>
  <w:num w:numId="4" w16cid:durableId="1607302471">
    <w:abstractNumId w:val="3"/>
  </w:num>
  <w:num w:numId="5" w16cid:durableId="502863165">
    <w:abstractNumId w:val="13"/>
  </w:num>
  <w:num w:numId="6" w16cid:durableId="1804425549">
    <w:abstractNumId w:val="21"/>
  </w:num>
  <w:num w:numId="7" w16cid:durableId="923992255">
    <w:abstractNumId w:val="18"/>
  </w:num>
  <w:num w:numId="8" w16cid:durableId="900404667">
    <w:abstractNumId w:val="22"/>
  </w:num>
  <w:num w:numId="9" w16cid:durableId="1182862724">
    <w:abstractNumId w:val="2"/>
  </w:num>
  <w:num w:numId="10" w16cid:durableId="269778325">
    <w:abstractNumId w:val="20"/>
  </w:num>
  <w:num w:numId="11" w16cid:durableId="201137387">
    <w:abstractNumId w:val="11"/>
  </w:num>
  <w:num w:numId="12" w16cid:durableId="966621374">
    <w:abstractNumId w:val="19"/>
  </w:num>
  <w:num w:numId="13" w16cid:durableId="344942835">
    <w:abstractNumId w:val="14"/>
  </w:num>
  <w:num w:numId="14" w16cid:durableId="52237774">
    <w:abstractNumId w:val="23"/>
  </w:num>
  <w:num w:numId="15" w16cid:durableId="572273785">
    <w:abstractNumId w:val="5"/>
  </w:num>
  <w:num w:numId="16" w16cid:durableId="619996953">
    <w:abstractNumId w:val="6"/>
  </w:num>
  <w:num w:numId="17" w16cid:durableId="638263032">
    <w:abstractNumId w:val="16"/>
  </w:num>
  <w:num w:numId="18" w16cid:durableId="1198159591">
    <w:abstractNumId w:val="4"/>
  </w:num>
  <w:num w:numId="19" w16cid:durableId="1664821553">
    <w:abstractNumId w:val="0"/>
  </w:num>
  <w:num w:numId="20" w16cid:durableId="249851143">
    <w:abstractNumId w:val="10"/>
  </w:num>
  <w:num w:numId="21" w16cid:durableId="1148017911">
    <w:abstractNumId w:val="17"/>
  </w:num>
  <w:num w:numId="22" w16cid:durableId="1601794401">
    <w:abstractNumId w:val="24"/>
  </w:num>
  <w:num w:numId="23" w16cid:durableId="1694922116">
    <w:abstractNumId w:val="9"/>
  </w:num>
  <w:num w:numId="24" w16cid:durableId="1408722540">
    <w:abstractNumId w:val="1"/>
  </w:num>
  <w:num w:numId="25" w16cid:durableId="1468359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32"/>
    <w:rsid w:val="000018FD"/>
    <w:rsid w:val="0000227B"/>
    <w:rsid w:val="0000397C"/>
    <w:rsid w:val="00006986"/>
    <w:rsid w:val="00007AB6"/>
    <w:rsid w:val="00017B7B"/>
    <w:rsid w:val="00025CA0"/>
    <w:rsid w:val="00026667"/>
    <w:rsid w:val="00027C6C"/>
    <w:rsid w:val="000340EB"/>
    <w:rsid w:val="00035810"/>
    <w:rsid w:val="00036444"/>
    <w:rsid w:val="00036DFA"/>
    <w:rsid w:val="0003722E"/>
    <w:rsid w:val="00046439"/>
    <w:rsid w:val="00053FAF"/>
    <w:rsid w:val="000567DC"/>
    <w:rsid w:val="00057AD1"/>
    <w:rsid w:val="00062115"/>
    <w:rsid w:val="000661CF"/>
    <w:rsid w:val="0006701F"/>
    <w:rsid w:val="000738A2"/>
    <w:rsid w:val="00075888"/>
    <w:rsid w:val="00077E0F"/>
    <w:rsid w:val="00086B93"/>
    <w:rsid w:val="00090F1A"/>
    <w:rsid w:val="000949C1"/>
    <w:rsid w:val="00096D1D"/>
    <w:rsid w:val="0009718D"/>
    <w:rsid w:val="000974EA"/>
    <w:rsid w:val="000A040B"/>
    <w:rsid w:val="000A44F1"/>
    <w:rsid w:val="000A572E"/>
    <w:rsid w:val="000A57EA"/>
    <w:rsid w:val="000C4824"/>
    <w:rsid w:val="000C6CB2"/>
    <w:rsid w:val="000D1CAA"/>
    <w:rsid w:val="000D1E7E"/>
    <w:rsid w:val="000D5339"/>
    <w:rsid w:val="000D61AE"/>
    <w:rsid w:val="000D7812"/>
    <w:rsid w:val="000E1C5E"/>
    <w:rsid w:val="000F1095"/>
    <w:rsid w:val="000F30E7"/>
    <w:rsid w:val="000F38AF"/>
    <w:rsid w:val="00100105"/>
    <w:rsid w:val="00106A2E"/>
    <w:rsid w:val="001072F1"/>
    <w:rsid w:val="00110180"/>
    <w:rsid w:val="00110F36"/>
    <w:rsid w:val="00112D2D"/>
    <w:rsid w:val="00114987"/>
    <w:rsid w:val="001151E7"/>
    <w:rsid w:val="0011670D"/>
    <w:rsid w:val="00121CD6"/>
    <w:rsid w:val="00123FFC"/>
    <w:rsid w:val="0012413D"/>
    <w:rsid w:val="00124DA2"/>
    <w:rsid w:val="001252FE"/>
    <w:rsid w:val="0012693A"/>
    <w:rsid w:val="00127D32"/>
    <w:rsid w:val="00136EE0"/>
    <w:rsid w:val="001409C8"/>
    <w:rsid w:val="00143FA5"/>
    <w:rsid w:val="0014553D"/>
    <w:rsid w:val="00146B5D"/>
    <w:rsid w:val="00152016"/>
    <w:rsid w:val="00154ADD"/>
    <w:rsid w:val="00155385"/>
    <w:rsid w:val="00155D89"/>
    <w:rsid w:val="00156336"/>
    <w:rsid w:val="00156FC1"/>
    <w:rsid w:val="0015722F"/>
    <w:rsid w:val="001621FD"/>
    <w:rsid w:val="0016333E"/>
    <w:rsid w:val="00163635"/>
    <w:rsid w:val="00164726"/>
    <w:rsid w:val="00164DEC"/>
    <w:rsid w:val="00167CFE"/>
    <w:rsid w:val="00171AEC"/>
    <w:rsid w:val="00175A0A"/>
    <w:rsid w:val="00177231"/>
    <w:rsid w:val="00184285"/>
    <w:rsid w:val="00186FE3"/>
    <w:rsid w:val="00195D83"/>
    <w:rsid w:val="001A04A4"/>
    <w:rsid w:val="001A04EE"/>
    <w:rsid w:val="001A6927"/>
    <w:rsid w:val="001A6984"/>
    <w:rsid w:val="001A6FEF"/>
    <w:rsid w:val="001B00D5"/>
    <w:rsid w:val="001B0501"/>
    <w:rsid w:val="001B073B"/>
    <w:rsid w:val="001B30D0"/>
    <w:rsid w:val="001B458D"/>
    <w:rsid w:val="001B4CF3"/>
    <w:rsid w:val="001B50CB"/>
    <w:rsid w:val="001B6BED"/>
    <w:rsid w:val="001C0F8F"/>
    <w:rsid w:val="001C1925"/>
    <w:rsid w:val="001C363D"/>
    <w:rsid w:val="001D13C0"/>
    <w:rsid w:val="001D23CB"/>
    <w:rsid w:val="001D2858"/>
    <w:rsid w:val="001D32A6"/>
    <w:rsid w:val="001D36BF"/>
    <w:rsid w:val="001D36C1"/>
    <w:rsid w:val="001D4416"/>
    <w:rsid w:val="001D4C48"/>
    <w:rsid w:val="001F298A"/>
    <w:rsid w:val="001F6713"/>
    <w:rsid w:val="001F6A68"/>
    <w:rsid w:val="00203826"/>
    <w:rsid w:val="00213825"/>
    <w:rsid w:val="0021453F"/>
    <w:rsid w:val="0021492D"/>
    <w:rsid w:val="0021511A"/>
    <w:rsid w:val="002171FC"/>
    <w:rsid w:val="002176CB"/>
    <w:rsid w:val="002209F4"/>
    <w:rsid w:val="00221928"/>
    <w:rsid w:val="002239A8"/>
    <w:rsid w:val="00223CEC"/>
    <w:rsid w:val="00227D6C"/>
    <w:rsid w:val="00232C05"/>
    <w:rsid w:val="0023373D"/>
    <w:rsid w:val="002346A4"/>
    <w:rsid w:val="002352CA"/>
    <w:rsid w:val="00240880"/>
    <w:rsid w:val="00241C7A"/>
    <w:rsid w:val="0024408F"/>
    <w:rsid w:val="0024779E"/>
    <w:rsid w:val="00251E62"/>
    <w:rsid w:val="00255321"/>
    <w:rsid w:val="00256E6C"/>
    <w:rsid w:val="00257FE0"/>
    <w:rsid w:val="002610DD"/>
    <w:rsid w:val="00261889"/>
    <w:rsid w:val="0026539C"/>
    <w:rsid w:val="00267F08"/>
    <w:rsid w:val="00270419"/>
    <w:rsid w:val="002732C5"/>
    <w:rsid w:val="002742AE"/>
    <w:rsid w:val="00274F69"/>
    <w:rsid w:val="00275AEB"/>
    <w:rsid w:val="00281E79"/>
    <w:rsid w:val="00281FE1"/>
    <w:rsid w:val="002845BF"/>
    <w:rsid w:val="00287FD7"/>
    <w:rsid w:val="00294171"/>
    <w:rsid w:val="00295F6C"/>
    <w:rsid w:val="0029621F"/>
    <w:rsid w:val="00296FE9"/>
    <w:rsid w:val="002A183D"/>
    <w:rsid w:val="002A190E"/>
    <w:rsid w:val="002A3106"/>
    <w:rsid w:val="002B0A52"/>
    <w:rsid w:val="002B10F3"/>
    <w:rsid w:val="002B120B"/>
    <w:rsid w:val="002B26F6"/>
    <w:rsid w:val="002B2CAA"/>
    <w:rsid w:val="002B5FF3"/>
    <w:rsid w:val="002C0EE8"/>
    <w:rsid w:val="002C3922"/>
    <w:rsid w:val="002C445F"/>
    <w:rsid w:val="002C5933"/>
    <w:rsid w:val="002D021B"/>
    <w:rsid w:val="002D2DC3"/>
    <w:rsid w:val="002D3F01"/>
    <w:rsid w:val="002D7788"/>
    <w:rsid w:val="002D7DB6"/>
    <w:rsid w:val="002E18E8"/>
    <w:rsid w:val="002E1D67"/>
    <w:rsid w:val="002E51AC"/>
    <w:rsid w:val="002E61BE"/>
    <w:rsid w:val="002F08C7"/>
    <w:rsid w:val="002F0B9E"/>
    <w:rsid w:val="002F1073"/>
    <w:rsid w:val="002F3D11"/>
    <w:rsid w:val="002F439D"/>
    <w:rsid w:val="003050E7"/>
    <w:rsid w:val="00307B03"/>
    <w:rsid w:val="003106E7"/>
    <w:rsid w:val="00313706"/>
    <w:rsid w:val="00315C91"/>
    <w:rsid w:val="00317993"/>
    <w:rsid w:val="00321B2B"/>
    <w:rsid w:val="003272EF"/>
    <w:rsid w:val="00330935"/>
    <w:rsid w:val="00337CDF"/>
    <w:rsid w:val="003438A1"/>
    <w:rsid w:val="00345C46"/>
    <w:rsid w:val="00346350"/>
    <w:rsid w:val="00347146"/>
    <w:rsid w:val="00351199"/>
    <w:rsid w:val="00357759"/>
    <w:rsid w:val="00362A9B"/>
    <w:rsid w:val="003764DB"/>
    <w:rsid w:val="00377493"/>
    <w:rsid w:val="003915B6"/>
    <w:rsid w:val="00392A7B"/>
    <w:rsid w:val="00397463"/>
    <w:rsid w:val="003A6D2A"/>
    <w:rsid w:val="003A7DC3"/>
    <w:rsid w:val="003B09FB"/>
    <w:rsid w:val="003B25F2"/>
    <w:rsid w:val="003B561D"/>
    <w:rsid w:val="003C64F9"/>
    <w:rsid w:val="003C7A18"/>
    <w:rsid w:val="003D044B"/>
    <w:rsid w:val="003D33C4"/>
    <w:rsid w:val="003D4969"/>
    <w:rsid w:val="003D5A87"/>
    <w:rsid w:val="003D5C03"/>
    <w:rsid w:val="003E043A"/>
    <w:rsid w:val="003E2E6E"/>
    <w:rsid w:val="003E432C"/>
    <w:rsid w:val="003E5476"/>
    <w:rsid w:val="003E5D09"/>
    <w:rsid w:val="003E721D"/>
    <w:rsid w:val="003E72CF"/>
    <w:rsid w:val="003F7014"/>
    <w:rsid w:val="0040181E"/>
    <w:rsid w:val="00401851"/>
    <w:rsid w:val="004042D0"/>
    <w:rsid w:val="00404451"/>
    <w:rsid w:val="0040539C"/>
    <w:rsid w:val="004064E8"/>
    <w:rsid w:val="004078DD"/>
    <w:rsid w:val="00412544"/>
    <w:rsid w:val="0041580A"/>
    <w:rsid w:val="004168EF"/>
    <w:rsid w:val="004169CD"/>
    <w:rsid w:val="004175C6"/>
    <w:rsid w:val="00420FA6"/>
    <w:rsid w:val="004211EB"/>
    <w:rsid w:val="00422B43"/>
    <w:rsid w:val="00425149"/>
    <w:rsid w:val="0042639D"/>
    <w:rsid w:val="0042659F"/>
    <w:rsid w:val="0042771D"/>
    <w:rsid w:val="00427C4F"/>
    <w:rsid w:val="004305AD"/>
    <w:rsid w:val="004324BF"/>
    <w:rsid w:val="0043385C"/>
    <w:rsid w:val="004356CD"/>
    <w:rsid w:val="00440C12"/>
    <w:rsid w:val="00451004"/>
    <w:rsid w:val="00452392"/>
    <w:rsid w:val="00453DF3"/>
    <w:rsid w:val="00460F4B"/>
    <w:rsid w:val="00463D9D"/>
    <w:rsid w:val="004717C0"/>
    <w:rsid w:val="00474FBC"/>
    <w:rsid w:val="004825C9"/>
    <w:rsid w:val="0048348B"/>
    <w:rsid w:val="00492DCA"/>
    <w:rsid w:val="004A4DDC"/>
    <w:rsid w:val="004A6E1D"/>
    <w:rsid w:val="004B090D"/>
    <w:rsid w:val="004B2C56"/>
    <w:rsid w:val="004C50EF"/>
    <w:rsid w:val="004D3976"/>
    <w:rsid w:val="004E028B"/>
    <w:rsid w:val="004E3985"/>
    <w:rsid w:val="004E4BAD"/>
    <w:rsid w:val="004E53AE"/>
    <w:rsid w:val="004E6299"/>
    <w:rsid w:val="004E7C0F"/>
    <w:rsid w:val="004F2D23"/>
    <w:rsid w:val="004F33F5"/>
    <w:rsid w:val="004F7677"/>
    <w:rsid w:val="005048C8"/>
    <w:rsid w:val="00507DC6"/>
    <w:rsid w:val="00510122"/>
    <w:rsid w:val="00510F43"/>
    <w:rsid w:val="0051649B"/>
    <w:rsid w:val="00520A9F"/>
    <w:rsid w:val="005235F2"/>
    <w:rsid w:val="0052503B"/>
    <w:rsid w:val="005257CD"/>
    <w:rsid w:val="00533294"/>
    <w:rsid w:val="00533966"/>
    <w:rsid w:val="00533B96"/>
    <w:rsid w:val="0053779C"/>
    <w:rsid w:val="00537BFE"/>
    <w:rsid w:val="0054380E"/>
    <w:rsid w:val="0055040C"/>
    <w:rsid w:val="00550C6E"/>
    <w:rsid w:val="00550ED0"/>
    <w:rsid w:val="00551CD1"/>
    <w:rsid w:val="005523DE"/>
    <w:rsid w:val="00553341"/>
    <w:rsid w:val="005551A5"/>
    <w:rsid w:val="00555D63"/>
    <w:rsid w:val="00555D82"/>
    <w:rsid w:val="00556F7B"/>
    <w:rsid w:val="005626CF"/>
    <w:rsid w:val="00562C32"/>
    <w:rsid w:val="005632FD"/>
    <w:rsid w:val="00564A24"/>
    <w:rsid w:val="00570A6F"/>
    <w:rsid w:val="00571043"/>
    <w:rsid w:val="00582B9D"/>
    <w:rsid w:val="005848C6"/>
    <w:rsid w:val="005863ED"/>
    <w:rsid w:val="00592CEA"/>
    <w:rsid w:val="005935C8"/>
    <w:rsid w:val="00597979"/>
    <w:rsid w:val="005A4393"/>
    <w:rsid w:val="005A586A"/>
    <w:rsid w:val="005B598B"/>
    <w:rsid w:val="005B79A0"/>
    <w:rsid w:val="005B7E68"/>
    <w:rsid w:val="005C0D21"/>
    <w:rsid w:val="005C1F3C"/>
    <w:rsid w:val="005C352B"/>
    <w:rsid w:val="005C4325"/>
    <w:rsid w:val="005C4553"/>
    <w:rsid w:val="005C51E3"/>
    <w:rsid w:val="005C6434"/>
    <w:rsid w:val="005D098C"/>
    <w:rsid w:val="005D14A0"/>
    <w:rsid w:val="005D6F42"/>
    <w:rsid w:val="005D7399"/>
    <w:rsid w:val="005E159A"/>
    <w:rsid w:val="005E52D8"/>
    <w:rsid w:val="005E677F"/>
    <w:rsid w:val="005E6B9A"/>
    <w:rsid w:val="005E78A4"/>
    <w:rsid w:val="005F13E0"/>
    <w:rsid w:val="00602D5A"/>
    <w:rsid w:val="0060429C"/>
    <w:rsid w:val="00604798"/>
    <w:rsid w:val="006102A8"/>
    <w:rsid w:val="006176B9"/>
    <w:rsid w:val="006250DF"/>
    <w:rsid w:val="0062702E"/>
    <w:rsid w:val="006273BC"/>
    <w:rsid w:val="00630511"/>
    <w:rsid w:val="00634693"/>
    <w:rsid w:val="00634BFC"/>
    <w:rsid w:val="00635E10"/>
    <w:rsid w:val="00636106"/>
    <w:rsid w:val="00637A81"/>
    <w:rsid w:val="006437F3"/>
    <w:rsid w:val="00643B7A"/>
    <w:rsid w:val="00644BD8"/>
    <w:rsid w:val="006527A9"/>
    <w:rsid w:val="00655929"/>
    <w:rsid w:val="0065779A"/>
    <w:rsid w:val="006608F8"/>
    <w:rsid w:val="00662457"/>
    <w:rsid w:val="00665081"/>
    <w:rsid w:val="00665397"/>
    <w:rsid w:val="006701E0"/>
    <w:rsid w:val="006738A4"/>
    <w:rsid w:val="00675500"/>
    <w:rsid w:val="00683391"/>
    <w:rsid w:val="00690576"/>
    <w:rsid w:val="006913BB"/>
    <w:rsid w:val="00692833"/>
    <w:rsid w:val="00692DB8"/>
    <w:rsid w:val="006942A8"/>
    <w:rsid w:val="00694361"/>
    <w:rsid w:val="006A27CC"/>
    <w:rsid w:val="006A6CEB"/>
    <w:rsid w:val="006B45E9"/>
    <w:rsid w:val="006C2389"/>
    <w:rsid w:val="006C3F06"/>
    <w:rsid w:val="006D13AB"/>
    <w:rsid w:val="006D3FE8"/>
    <w:rsid w:val="006D6F49"/>
    <w:rsid w:val="006D7D96"/>
    <w:rsid w:val="006E4594"/>
    <w:rsid w:val="006E7AA3"/>
    <w:rsid w:val="006F009D"/>
    <w:rsid w:val="006F727F"/>
    <w:rsid w:val="007028F7"/>
    <w:rsid w:val="007031A5"/>
    <w:rsid w:val="00703502"/>
    <w:rsid w:val="007056F6"/>
    <w:rsid w:val="0071390F"/>
    <w:rsid w:val="00714DC6"/>
    <w:rsid w:val="00722DBA"/>
    <w:rsid w:val="00731ADA"/>
    <w:rsid w:val="00731E8A"/>
    <w:rsid w:val="00732B3D"/>
    <w:rsid w:val="00733E2B"/>
    <w:rsid w:val="007425B7"/>
    <w:rsid w:val="0074592B"/>
    <w:rsid w:val="0075111D"/>
    <w:rsid w:val="00753FC1"/>
    <w:rsid w:val="00760455"/>
    <w:rsid w:val="00760483"/>
    <w:rsid w:val="00762F0D"/>
    <w:rsid w:val="00764B06"/>
    <w:rsid w:val="00772856"/>
    <w:rsid w:val="00772923"/>
    <w:rsid w:val="0078012B"/>
    <w:rsid w:val="00781EC4"/>
    <w:rsid w:val="00790412"/>
    <w:rsid w:val="007907EB"/>
    <w:rsid w:val="007935E5"/>
    <w:rsid w:val="00794A66"/>
    <w:rsid w:val="00797756"/>
    <w:rsid w:val="007A0888"/>
    <w:rsid w:val="007A3483"/>
    <w:rsid w:val="007A3ABD"/>
    <w:rsid w:val="007A77CA"/>
    <w:rsid w:val="007B3320"/>
    <w:rsid w:val="007B4ADA"/>
    <w:rsid w:val="007C3600"/>
    <w:rsid w:val="007C63C3"/>
    <w:rsid w:val="007C7C8E"/>
    <w:rsid w:val="007C7D07"/>
    <w:rsid w:val="007D4E18"/>
    <w:rsid w:val="007F21A3"/>
    <w:rsid w:val="007F2BCD"/>
    <w:rsid w:val="007F4104"/>
    <w:rsid w:val="007F5D94"/>
    <w:rsid w:val="007F77D3"/>
    <w:rsid w:val="00801F54"/>
    <w:rsid w:val="00802753"/>
    <w:rsid w:val="0080650F"/>
    <w:rsid w:val="00806A25"/>
    <w:rsid w:val="00810E42"/>
    <w:rsid w:val="008127EF"/>
    <w:rsid w:val="008172C9"/>
    <w:rsid w:val="008234F7"/>
    <w:rsid w:val="00823E73"/>
    <w:rsid w:val="00830952"/>
    <w:rsid w:val="00835254"/>
    <w:rsid w:val="00840A55"/>
    <w:rsid w:val="008431EA"/>
    <w:rsid w:val="00847470"/>
    <w:rsid w:val="008512D4"/>
    <w:rsid w:val="0085404E"/>
    <w:rsid w:val="00855142"/>
    <w:rsid w:val="008559F3"/>
    <w:rsid w:val="00861C04"/>
    <w:rsid w:val="00864AC7"/>
    <w:rsid w:val="00864C36"/>
    <w:rsid w:val="008655AD"/>
    <w:rsid w:val="00865A9F"/>
    <w:rsid w:val="00870487"/>
    <w:rsid w:val="0087166A"/>
    <w:rsid w:val="00871CD0"/>
    <w:rsid w:val="008737E0"/>
    <w:rsid w:val="00885DDA"/>
    <w:rsid w:val="00886A26"/>
    <w:rsid w:val="0089114A"/>
    <w:rsid w:val="008919D4"/>
    <w:rsid w:val="00896773"/>
    <w:rsid w:val="00897FB9"/>
    <w:rsid w:val="008A0A8B"/>
    <w:rsid w:val="008A3F8C"/>
    <w:rsid w:val="008B1E30"/>
    <w:rsid w:val="008B422B"/>
    <w:rsid w:val="008B7125"/>
    <w:rsid w:val="008B759A"/>
    <w:rsid w:val="008C1CBC"/>
    <w:rsid w:val="008C3EF5"/>
    <w:rsid w:val="008C4BFC"/>
    <w:rsid w:val="008D008A"/>
    <w:rsid w:val="008D33B1"/>
    <w:rsid w:val="008E654F"/>
    <w:rsid w:val="008E724B"/>
    <w:rsid w:val="008F0D6D"/>
    <w:rsid w:val="008F2965"/>
    <w:rsid w:val="008F2E93"/>
    <w:rsid w:val="008F4405"/>
    <w:rsid w:val="008F5C91"/>
    <w:rsid w:val="00903724"/>
    <w:rsid w:val="00904275"/>
    <w:rsid w:val="0090557B"/>
    <w:rsid w:val="00906EDF"/>
    <w:rsid w:val="00910A7B"/>
    <w:rsid w:val="00915FCC"/>
    <w:rsid w:val="00917BCB"/>
    <w:rsid w:val="009223F9"/>
    <w:rsid w:val="00922728"/>
    <w:rsid w:val="00932A5A"/>
    <w:rsid w:val="00932ADE"/>
    <w:rsid w:val="00933AB4"/>
    <w:rsid w:val="009355FE"/>
    <w:rsid w:val="00935AD3"/>
    <w:rsid w:val="009370DA"/>
    <w:rsid w:val="009376B0"/>
    <w:rsid w:val="009378F5"/>
    <w:rsid w:val="00951645"/>
    <w:rsid w:val="00956553"/>
    <w:rsid w:val="00962517"/>
    <w:rsid w:val="009641A8"/>
    <w:rsid w:val="009647B8"/>
    <w:rsid w:val="00965DB3"/>
    <w:rsid w:val="00967F45"/>
    <w:rsid w:val="00970C72"/>
    <w:rsid w:val="00971298"/>
    <w:rsid w:val="00973B67"/>
    <w:rsid w:val="00974498"/>
    <w:rsid w:val="00974EA2"/>
    <w:rsid w:val="009766EC"/>
    <w:rsid w:val="00981F3B"/>
    <w:rsid w:val="00983AC6"/>
    <w:rsid w:val="0098731C"/>
    <w:rsid w:val="0099010D"/>
    <w:rsid w:val="00991E0A"/>
    <w:rsid w:val="00992D4A"/>
    <w:rsid w:val="00996667"/>
    <w:rsid w:val="009A0BE0"/>
    <w:rsid w:val="009A2EAB"/>
    <w:rsid w:val="009A3281"/>
    <w:rsid w:val="009A504D"/>
    <w:rsid w:val="009A5FEC"/>
    <w:rsid w:val="009A6BF5"/>
    <w:rsid w:val="009B0AE7"/>
    <w:rsid w:val="009B395C"/>
    <w:rsid w:val="009B45A6"/>
    <w:rsid w:val="009B4732"/>
    <w:rsid w:val="009B6121"/>
    <w:rsid w:val="009C4F82"/>
    <w:rsid w:val="009C7766"/>
    <w:rsid w:val="009D7291"/>
    <w:rsid w:val="009D7A0B"/>
    <w:rsid w:val="009E0DB8"/>
    <w:rsid w:val="009E12DF"/>
    <w:rsid w:val="009F02DA"/>
    <w:rsid w:val="009F0B2F"/>
    <w:rsid w:val="009F0CD2"/>
    <w:rsid w:val="009F1051"/>
    <w:rsid w:val="00A012F4"/>
    <w:rsid w:val="00A014D7"/>
    <w:rsid w:val="00A01673"/>
    <w:rsid w:val="00A0731F"/>
    <w:rsid w:val="00A07EA2"/>
    <w:rsid w:val="00A10C8F"/>
    <w:rsid w:val="00A11538"/>
    <w:rsid w:val="00A11B5C"/>
    <w:rsid w:val="00A12854"/>
    <w:rsid w:val="00A16869"/>
    <w:rsid w:val="00A25C4F"/>
    <w:rsid w:val="00A31A39"/>
    <w:rsid w:val="00A31E7D"/>
    <w:rsid w:val="00A33F61"/>
    <w:rsid w:val="00A36B5D"/>
    <w:rsid w:val="00A4580A"/>
    <w:rsid w:val="00A46056"/>
    <w:rsid w:val="00A474EA"/>
    <w:rsid w:val="00A50BA3"/>
    <w:rsid w:val="00A51B5B"/>
    <w:rsid w:val="00A535D8"/>
    <w:rsid w:val="00A6046E"/>
    <w:rsid w:val="00A604B5"/>
    <w:rsid w:val="00A611B9"/>
    <w:rsid w:val="00A65067"/>
    <w:rsid w:val="00A66154"/>
    <w:rsid w:val="00A6634A"/>
    <w:rsid w:val="00A704E2"/>
    <w:rsid w:val="00A734FA"/>
    <w:rsid w:val="00A7497A"/>
    <w:rsid w:val="00A803B5"/>
    <w:rsid w:val="00A814DA"/>
    <w:rsid w:val="00A8457A"/>
    <w:rsid w:val="00A93878"/>
    <w:rsid w:val="00A949EB"/>
    <w:rsid w:val="00A97DF9"/>
    <w:rsid w:val="00AA077F"/>
    <w:rsid w:val="00AA5B62"/>
    <w:rsid w:val="00AA670E"/>
    <w:rsid w:val="00AB20C7"/>
    <w:rsid w:val="00AB2917"/>
    <w:rsid w:val="00AB665A"/>
    <w:rsid w:val="00AC09DA"/>
    <w:rsid w:val="00AC4704"/>
    <w:rsid w:val="00AC4CD1"/>
    <w:rsid w:val="00AD02E0"/>
    <w:rsid w:val="00AD094B"/>
    <w:rsid w:val="00AD426B"/>
    <w:rsid w:val="00AD5F67"/>
    <w:rsid w:val="00AD6D9E"/>
    <w:rsid w:val="00AD7995"/>
    <w:rsid w:val="00AE3590"/>
    <w:rsid w:val="00AE4B69"/>
    <w:rsid w:val="00AE719C"/>
    <w:rsid w:val="00AF0FD6"/>
    <w:rsid w:val="00AF2115"/>
    <w:rsid w:val="00AF3FAB"/>
    <w:rsid w:val="00B00547"/>
    <w:rsid w:val="00B04432"/>
    <w:rsid w:val="00B0523B"/>
    <w:rsid w:val="00B11F38"/>
    <w:rsid w:val="00B16CD3"/>
    <w:rsid w:val="00B2089E"/>
    <w:rsid w:val="00B235B9"/>
    <w:rsid w:val="00B2499D"/>
    <w:rsid w:val="00B257B6"/>
    <w:rsid w:val="00B33898"/>
    <w:rsid w:val="00B347DF"/>
    <w:rsid w:val="00B3576A"/>
    <w:rsid w:val="00B42327"/>
    <w:rsid w:val="00B42BC1"/>
    <w:rsid w:val="00B42C48"/>
    <w:rsid w:val="00B5449A"/>
    <w:rsid w:val="00B550CE"/>
    <w:rsid w:val="00B64661"/>
    <w:rsid w:val="00B71BE0"/>
    <w:rsid w:val="00B747DD"/>
    <w:rsid w:val="00B758E8"/>
    <w:rsid w:val="00B76E68"/>
    <w:rsid w:val="00B77179"/>
    <w:rsid w:val="00B77842"/>
    <w:rsid w:val="00B836FB"/>
    <w:rsid w:val="00B845D1"/>
    <w:rsid w:val="00B84DA1"/>
    <w:rsid w:val="00B90E9F"/>
    <w:rsid w:val="00B92A26"/>
    <w:rsid w:val="00B93790"/>
    <w:rsid w:val="00B94B88"/>
    <w:rsid w:val="00B97193"/>
    <w:rsid w:val="00BA5C03"/>
    <w:rsid w:val="00BA7F16"/>
    <w:rsid w:val="00BB00D6"/>
    <w:rsid w:val="00BB15B7"/>
    <w:rsid w:val="00BB19DB"/>
    <w:rsid w:val="00BB41AE"/>
    <w:rsid w:val="00BC1D21"/>
    <w:rsid w:val="00BC20EB"/>
    <w:rsid w:val="00BC36BB"/>
    <w:rsid w:val="00BC50F0"/>
    <w:rsid w:val="00BC68D2"/>
    <w:rsid w:val="00BC77B1"/>
    <w:rsid w:val="00BC77BD"/>
    <w:rsid w:val="00BD2FFB"/>
    <w:rsid w:val="00BD30C7"/>
    <w:rsid w:val="00BE0C78"/>
    <w:rsid w:val="00BE21AE"/>
    <w:rsid w:val="00BE4786"/>
    <w:rsid w:val="00BE56D9"/>
    <w:rsid w:val="00BE5715"/>
    <w:rsid w:val="00BE693B"/>
    <w:rsid w:val="00BF0F1C"/>
    <w:rsid w:val="00BF2306"/>
    <w:rsid w:val="00BF3458"/>
    <w:rsid w:val="00BF4DC2"/>
    <w:rsid w:val="00BF66A6"/>
    <w:rsid w:val="00C079BE"/>
    <w:rsid w:val="00C110E6"/>
    <w:rsid w:val="00C131A2"/>
    <w:rsid w:val="00C23B75"/>
    <w:rsid w:val="00C3210A"/>
    <w:rsid w:val="00C32AE2"/>
    <w:rsid w:val="00C347E2"/>
    <w:rsid w:val="00C351BF"/>
    <w:rsid w:val="00C43F47"/>
    <w:rsid w:val="00C47D8D"/>
    <w:rsid w:val="00C5303E"/>
    <w:rsid w:val="00C544AE"/>
    <w:rsid w:val="00C620FF"/>
    <w:rsid w:val="00C6406C"/>
    <w:rsid w:val="00C6446B"/>
    <w:rsid w:val="00C64568"/>
    <w:rsid w:val="00C673F1"/>
    <w:rsid w:val="00C72710"/>
    <w:rsid w:val="00C812E2"/>
    <w:rsid w:val="00C821E4"/>
    <w:rsid w:val="00C8332A"/>
    <w:rsid w:val="00C836CD"/>
    <w:rsid w:val="00C83D6E"/>
    <w:rsid w:val="00C8669F"/>
    <w:rsid w:val="00C86810"/>
    <w:rsid w:val="00C90489"/>
    <w:rsid w:val="00C9166D"/>
    <w:rsid w:val="00C91C14"/>
    <w:rsid w:val="00C93A33"/>
    <w:rsid w:val="00C953C0"/>
    <w:rsid w:val="00CA28C2"/>
    <w:rsid w:val="00CA4AAA"/>
    <w:rsid w:val="00CA6AB9"/>
    <w:rsid w:val="00CA74EF"/>
    <w:rsid w:val="00CA7B43"/>
    <w:rsid w:val="00CB0C07"/>
    <w:rsid w:val="00CB1B32"/>
    <w:rsid w:val="00CB7EDB"/>
    <w:rsid w:val="00CC085A"/>
    <w:rsid w:val="00CC36A9"/>
    <w:rsid w:val="00CC45A0"/>
    <w:rsid w:val="00CC4985"/>
    <w:rsid w:val="00CD0832"/>
    <w:rsid w:val="00CD2523"/>
    <w:rsid w:val="00CD2B9A"/>
    <w:rsid w:val="00CD4CF1"/>
    <w:rsid w:val="00CE306C"/>
    <w:rsid w:val="00CF615C"/>
    <w:rsid w:val="00D015F6"/>
    <w:rsid w:val="00D05F02"/>
    <w:rsid w:val="00D07D06"/>
    <w:rsid w:val="00D10FAB"/>
    <w:rsid w:val="00D110DD"/>
    <w:rsid w:val="00D11BD4"/>
    <w:rsid w:val="00D13D16"/>
    <w:rsid w:val="00D1696A"/>
    <w:rsid w:val="00D1701E"/>
    <w:rsid w:val="00D21BE8"/>
    <w:rsid w:val="00D21D4F"/>
    <w:rsid w:val="00D225D0"/>
    <w:rsid w:val="00D239E7"/>
    <w:rsid w:val="00D25EAC"/>
    <w:rsid w:val="00D262D1"/>
    <w:rsid w:val="00D26590"/>
    <w:rsid w:val="00D272A2"/>
    <w:rsid w:val="00D34835"/>
    <w:rsid w:val="00D44FCC"/>
    <w:rsid w:val="00D4589E"/>
    <w:rsid w:val="00D464E0"/>
    <w:rsid w:val="00D51E25"/>
    <w:rsid w:val="00D51E51"/>
    <w:rsid w:val="00D60A24"/>
    <w:rsid w:val="00D615E1"/>
    <w:rsid w:val="00D6187D"/>
    <w:rsid w:val="00D63DFF"/>
    <w:rsid w:val="00D644E9"/>
    <w:rsid w:val="00D65AB7"/>
    <w:rsid w:val="00D65EEE"/>
    <w:rsid w:val="00D84513"/>
    <w:rsid w:val="00D909F8"/>
    <w:rsid w:val="00DA61AB"/>
    <w:rsid w:val="00DA722D"/>
    <w:rsid w:val="00DB3D61"/>
    <w:rsid w:val="00DB4768"/>
    <w:rsid w:val="00DC7BE2"/>
    <w:rsid w:val="00DD35EC"/>
    <w:rsid w:val="00DD4FFB"/>
    <w:rsid w:val="00DE0710"/>
    <w:rsid w:val="00DE486D"/>
    <w:rsid w:val="00DE78F5"/>
    <w:rsid w:val="00DF256C"/>
    <w:rsid w:val="00DF438D"/>
    <w:rsid w:val="00DF465C"/>
    <w:rsid w:val="00DF4F43"/>
    <w:rsid w:val="00E05E2A"/>
    <w:rsid w:val="00E07FBE"/>
    <w:rsid w:val="00E14AAC"/>
    <w:rsid w:val="00E30226"/>
    <w:rsid w:val="00E30505"/>
    <w:rsid w:val="00E34E13"/>
    <w:rsid w:val="00E370A7"/>
    <w:rsid w:val="00E40088"/>
    <w:rsid w:val="00E40CB1"/>
    <w:rsid w:val="00E417E2"/>
    <w:rsid w:val="00E429B0"/>
    <w:rsid w:val="00E43073"/>
    <w:rsid w:val="00E474FB"/>
    <w:rsid w:val="00E47727"/>
    <w:rsid w:val="00E5247E"/>
    <w:rsid w:val="00E545E9"/>
    <w:rsid w:val="00E547A2"/>
    <w:rsid w:val="00E61710"/>
    <w:rsid w:val="00E62474"/>
    <w:rsid w:val="00E66DD6"/>
    <w:rsid w:val="00E722D8"/>
    <w:rsid w:val="00E75A26"/>
    <w:rsid w:val="00E76121"/>
    <w:rsid w:val="00E76CC9"/>
    <w:rsid w:val="00E8432F"/>
    <w:rsid w:val="00E845C5"/>
    <w:rsid w:val="00E84F77"/>
    <w:rsid w:val="00E87329"/>
    <w:rsid w:val="00E873D0"/>
    <w:rsid w:val="00E875A4"/>
    <w:rsid w:val="00E9270B"/>
    <w:rsid w:val="00E92A26"/>
    <w:rsid w:val="00E9446A"/>
    <w:rsid w:val="00E9565B"/>
    <w:rsid w:val="00E97081"/>
    <w:rsid w:val="00E97D5F"/>
    <w:rsid w:val="00EA4987"/>
    <w:rsid w:val="00EA708B"/>
    <w:rsid w:val="00EB7EC2"/>
    <w:rsid w:val="00EC1525"/>
    <w:rsid w:val="00EC436C"/>
    <w:rsid w:val="00EC4C43"/>
    <w:rsid w:val="00EC4D11"/>
    <w:rsid w:val="00EC54D6"/>
    <w:rsid w:val="00EC62D4"/>
    <w:rsid w:val="00EC6DB9"/>
    <w:rsid w:val="00EC6FED"/>
    <w:rsid w:val="00ED3A1E"/>
    <w:rsid w:val="00ED48DA"/>
    <w:rsid w:val="00ED5672"/>
    <w:rsid w:val="00ED5F7C"/>
    <w:rsid w:val="00EE2243"/>
    <w:rsid w:val="00EE5E06"/>
    <w:rsid w:val="00EF071D"/>
    <w:rsid w:val="00EF5329"/>
    <w:rsid w:val="00EF6E88"/>
    <w:rsid w:val="00F06EC8"/>
    <w:rsid w:val="00F12E74"/>
    <w:rsid w:val="00F136E7"/>
    <w:rsid w:val="00F1475B"/>
    <w:rsid w:val="00F15328"/>
    <w:rsid w:val="00F156C6"/>
    <w:rsid w:val="00F1606C"/>
    <w:rsid w:val="00F17044"/>
    <w:rsid w:val="00F32ECA"/>
    <w:rsid w:val="00F35A25"/>
    <w:rsid w:val="00F35EFC"/>
    <w:rsid w:val="00F37576"/>
    <w:rsid w:val="00F37938"/>
    <w:rsid w:val="00F41937"/>
    <w:rsid w:val="00F41AD9"/>
    <w:rsid w:val="00F42EBE"/>
    <w:rsid w:val="00F50D8F"/>
    <w:rsid w:val="00F60A2E"/>
    <w:rsid w:val="00F610BD"/>
    <w:rsid w:val="00F63218"/>
    <w:rsid w:val="00F664D7"/>
    <w:rsid w:val="00F6734B"/>
    <w:rsid w:val="00F677D8"/>
    <w:rsid w:val="00F67DA1"/>
    <w:rsid w:val="00F7053C"/>
    <w:rsid w:val="00F70A07"/>
    <w:rsid w:val="00F71938"/>
    <w:rsid w:val="00F74BE2"/>
    <w:rsid w:val="00F7628F"/>
    <w:rsid w:val="00F767EE"/>
    <w:rsid w:val="00F7792E"/>
    <w:rsid w:val="00F83597"/>
    <w:rsid w:val="00F86178"/>
    <w:rsid w:val="00F86210"/>
    <w:rsid w:val="00F86C58"/>
    <w:rsid w:val="00F87A84"/>
    <w:rsid w:val="00F916B9"/>
    <w:rsid w:val="00F950AE"/>
    <w:rsid w:val="00F95DFE"/>
    <w:rsid w:val="00FA152A"/>
    <w:rsid w:val="00FA1576"/>
    <w:rsid w:val="00FA254F"/>
    <w:rsid w:val="00FA5AB2"/>
    <w:rsid w:val="00FA75EA"/>
    <w:rsid w:val="00FA7E47"/>
    <w:rsid w:val="00FB1638"/>
    <w:rsid w:val="00FB1929"/>
    <w:rsid w:val="00FB2253"/>
    <w:rsid w:val="00FB2894"/>
    <w:rsid w:val="00FB42DC"/>
    <w:rsid w:val="00FB466D"/>
    <w:rsid w:val="00FB6DD8"/>
    <w:rsid w:val="00FC13B2"/>
    <w:rsid w:val="00FC4BD5"/>
    <w:rsid w:val="00FD0102"/>
    <w:rsid w:val="00FD2B55"/>
    <w:rsid w:val="00FD475D"/>
    <w:rsid w:val="00FD5260"/>
    <w:rsid w:val="00FD7694"/>
    <w:rsid w:val="00FE0022"/>
    <w:rsid w:val="00FE32DD"/>
    <w:rsid w:val="00FF18E1"/>
    <w:rsid w:val="00FF2870"/>
    <w:rsid w:val="00FF5C12"/>
    <w:rsid w:val="00FF5E80"/>
    <w:rsid w:val="00FF5FDC"/>
    <w:rsid w:val="00FF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BA496"/>
  <w15:chartTrackingRefBased/>
  <w15:docId w15:val="{9721D70B-0291-451E-9F8C-DD298026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A1"/>
  </w:style>
  <w:style w:type="paragraph" w:styleId="Heading1">
    <w:name w:val="heading 1"/>
    <w:basedOn w:val="Normal"/>
    <w:next w:val="Normal"/>
    <w:link w:val="Heading1Char"/>
    <w:uiPriority w:val="9"/>
    <w:qFormat/>
    <w:rsid w:val="00AC09DA"/>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C09DA"/>
    <w:pPr>
      <w:keepNext/>
      <w:keepLines/>
      <w:spacing w:after="0" w:line="360" w:lineRule="auto"/>
      <w:ind w:left="-446"/>
      <w:outlineLvl w:val="1"/>
    </w:pPr>
    <w:rPr>
      <w:rFonts w:asciiTheme="majorHAnsi" w:eastAsiaTheme="majorEastAsia" w:hAnsiTheme="majorHAnsi" w:cstheme="majorBidi"/>
      <w:b/>
      <w:smallCaps/>
      <w:color w:val="2F5496" w:themeColor="accent1" w:themeShade="BF"/>
      <w:sz w:val="26"/>
      <w:szCs w:val="26"/>
    </w:rPr>
  </w:style>
  <w:style w:type="paragraph" w:styleId="Heading3">
    <w:name w:val="heading 3"/>
    <w:basedOn w:val="Normal"/>
    <w:next w:val="Normal"/>
    <w:link w:val="Heading3Char"/>
    <w:uiPriority w:val="9"/>
    <w:unhideWhenUsed/>
    <w:qFormat/>
    <w:rsid w:val="00AC09DA"/>
    <w:pPr>
      <w:keepNext/>
      <w:keepLines/>
      <w:spacing w:after="0" w:line="360" w:lineRule="auto"/>
      <w:ind w:left="-446"/>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09DA"/>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34"/>
    <w:qFormat/>
    <w:rsid w:val="00D10FAB"/>
    <w:pPr>
      <w:ind w:left="720"/>
      <w:contextualSpacing/>
    </w:pPr>
  </w:style>
  <w:style w:type="paragraph" w:styleId="Header">
    <w:name w:val="header"/>
    <w:basedOn w:val="Normal"/>
    <w:link w:val="HeaderChar"/>
    <w:uiPriority w:val="99"/>
    <w:unhideWhenUsed/>
    <w:rsid w:val="009F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DA"/>
  </w:style>
  <w:style w:type="paragraph" w:styleId="Footer">
    <w:name w:val="footer"/>
    <w:basedOn w:val="Normal"/>
    <w:link w:val="FooterChar"/>
    <w:uiPriority w:val="99"/>
    <w:unhideWhenUsed/>
    <w:rsid w:val="009F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DA"/>
  </w:style>
  <w:style w:type="paragraph" w:styleId="BalloonText">
    <w:name w:val="Balloon Text"/>
    <w:basedOn w:val="Normal"/>
    <w:link w:val="BalloonTextChar"/>
    <w:uiPriority w:val="99"/>
    <w:semiHidden/>
    <w:unhideWhenUsed/>
    <w:rsid w:val="009F0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DA"/>
    <w:rPr>
      <w:rFonts w:ascii="Segoe UI" w:hAnsi="Segoe UI" w:cs="Segoe UI"/>
      <w:sz w:val="18"/>
      <w:szCs w:val="18"/>
    </w:rPr>
  </w:style>
  <w:style w:type="character" w:customStyle="1" w:styleId="Heading2Char">
    <w:name w:val="Heading 2 Char"/>
    <w:basedOn w:val="DefaultParagraphFont"/>
    <w:link w:val="Heading2"/>
    <w:uiPriority w:val="9"/>
    <w:rsid w:val="00AC09DA"/>
    <w:rPr>
      <w:rFonts w:asciiTheme="majorHAnsi" w:eastAsiaTheme="majorEastAsia" w:hAnsiTheme="majorHAnsi" w:cstheme="majorBidi"/>
      <w:b/>
      <w:smallCaps/>
      <w:color w:val="2F5496" w:themeColor="accent1" w:themeShade="BF"/>
      <w:sz w:val="26"/>
      <w:szCs w:val="26"/>
    </w:rPr>
  </w:style>
  <w:style w:type="paragraph" w:styleId="NormalWeb">
    <w:name w:val="Normal (Web)"/>
    <w:basedOn w:val="Normal"/>
    <w:uiPriority w:val="99"/>
    <w:unhideWhenUsed/>
    <w:rsid w:val="005C45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D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37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938"/>
    <w:rPr>
      <w:sz w:val="20"/>
      <w:szCs w:val="20"/>
    </w:rPr>
  </w:style>
  <w:style w:type="character" w:styleId="FootnoteReference">
    <w:name w:val="footnote reference"/>
    <w:basedOn w:val="DefaultParagraphFont"/>
    <w:uiPriority w:val="99"/>
    <w:semiHidden/>
    <w:unhideWhenUsed/>
    <w:rsid w:val="00F37938"/>
    <w:rPr>
      <w:vertAlign w:val="superscript"/>
    </w:rPr>
  </w:style>
  <w:style w:type="character" w:styleId="Hyperlink">
    <w:name w:val="Hyperlink"/>
    <w:basedOn w:val="DefaultParagraphFont"/>
    <w:uiPriority w:val="99"/>
    <w:unhideWhenUsed/>
    <w:rsid w:val="001151E7"/>
    <w:rPr>
      <w:color w:val="0563C1" w:themeColor="hyperlink"/>
      <w:u w:val="single"/>
    </w:rPr>
  </w:style>
  <w:style w:type="character" w:styleId="UnresolvedMention">
    <w:name w:val="Unresolved Mention"/>
    <w:basedOn w:val="DefaultParagraphFont"/>
    <w:uiPriority w:val="99"/>
    <w:semiHidden/>
    <w:unhideWhenUsed/>
    <w:rsid w:val="001151E7"/>
    <w:rPr>
      <w:color w:val="605E5C"/>
      <w:shd w:val="clear" w:color="auto" w:fill="E1DFDD"/>
    </w:rPr>
  </w:style>
  <w:style w:type="paragraph" w:styleId="Caption">
    <w:name w:val="caption"/>
    <w:basedOn w:val="Normal"/>
    <w:next w:val="Normal"/>
    <w:uiPriority w:val="35"/>
    <w:unhideWhenUsed/>
    <w:qFormat/>
    <w:rsid w:val="00BD2FFB"/>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AC09D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D6F49"/>
    <w:rPr>
      <w:sz w:val="16"/>
      <w:szCs w:val="16"/>
    </w:rPr>
  </w:style>
  <w:style w:type="paragraph" w:styleId="CommentText">
    <w:name w:val="annotation text"/>
    <w:basedOn w:val="Normal"/>
    <w:link w:val="CommentTextChar"/>
    <w:uiPriority w:val="99"/>
    <w:unhideWhenUsed/>
    <w:rsid w:val="006D6F49"/>
    <w:pPr>
      <w:spacing w:line="240" w:lineRule="auto"/>
    </w:pPr>
    <w:rPr>
      <w:sz w:val="20"/>
      <w:szCs w:val="20"/>
    </w:rPr>
  </w:style>
  <w:style w:type="character" w:customStyle="1" w:styleId="CommentTextChar">
    <w:name w:val="Comment Text Char"/>
    <w:basedOn w:val="DefaultParagraphFont"/>
    <w:link w:val="CommentText"/>
    <w:uiPriority w:val="99"/>
    <w:rsid w:val="006D6F49"/>
    <w:rPr>
      <w:sz w:val="20"/>
      <w:szCs w:val="20"/>
    </w:rPr>
  </w:style>
  <w:style w:type="paragraph" w:styleId="CommentSubject">
    <w:name w:val="annotation subject"/>
    <w:basedOn w:val="CommentText"/>
    <w:next w:val="CommentText"/>
    <w:link w:val="CommentSubjectChar"/>
    <w:uiPriority w:val="99"/>
    <w:semiHidden/>
    <w:unhideWhenUsed/>
    <w:rsid w:val="006D6F49"/>
    <w:rPr>
      <w:b/>
      <w:bCs/>
    </w:rPr>
  </w:style>
  <w:style w:type="character" w:customStyle="1" w:styleId="CommentSubjectChar">
    <w:name w:val="Comment Subject Char"/>
    <w:basedOn w:val="CommentTextChar"/>
    <w:link w:val="CommentSubject"/>
    <w:uiPriority w:val="99"/>
    <w:semiHidden/>
    <w:rsid w:val="006D6F49"/>
    <w:rPr>
      <w:b/>
      <w:bCs/>
      <w:sz w:val="20"/>
      <w:szCs w:val="20"/>
    </w:rPr>
  </w:style>
  <w:style w:type="character" w:styleId="FollowedHyperlink">
    <w:name w:val="FollowedHyperlink"/>
    <w:basedOn w:val="DefaultParagraphFont"/>
    <w:uiPriority w:val="99"/>
    <w:semiHidden/>
    <w:unhideWhenUsed/>
    <w:rsid w:val="00EC4C43"/>
    <w:rPr>
      <w:color w:val="954F72" w:themeColor="followedHyperlink"/>
      <w:u w:val="single"/>
    </w:rPr>
  </w:style>
  <w:style w:type="character" w:styleId="Emphasis">
    <w:name w:val="Emphasis"/>
    <w:basedOn w:val="DefaultParagraphFont"/>
    <w:uiPriority w:val="20"/>
    <w:qFormat/>
    <w:rsid w:val="00BF4DC2"/>
    <w:rPr>
      <w:i/>
      <w:iCs/>
    </w:rPr>
  </w:style>
  <w:style w:type="paragraph" w:styleId="Revision">
    <w:name w:val="Revision"/>
    <w:hidden/>
    <w:uiPriority w:val="99"/>
    <w:semiHidden/>
    <w:rsid w:val="009A5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2122">
      <w:bodyDiv w:val="1"/>
      <w:marLeft w:val="0"/>
      <w:marRight w:val="0"/>
      <w:marTop w:val="0"/>
      <w:marBottom w:val="0"/>
      <w:divBdr>
        <w:top w:val="none" w:sz="0" w:space="0" w:color="auto"/>
        <w:left w:val="none" w:sz="0" w:space="0" w:color="auto"/>
        <w:bottom w:val="none" w:sz="0" w:space="0" w:color="auto"/>
        <w:right w:val="none" w:sz="0" w:space="0" w:color="auto"/>
      </w:divBdr>
    </w:div>
    <w:div w:id="858658944">
      <w:bodyDiv w:val="1"/>
      <w:marLeft w:val="0"/>
      <w:marRight w:val="0"/>
      <w:marTop w:val="0"/>
      <w:marBottom w:val="0"/>
      <w:divBdr>
        <w:top w:val="none" w:sz="0" w:space="0" w:color="auto"/>
        <w:left w:val="none" w:sz="0" w:space="0" w:color="auto"/>
        <w:bottom w:val="none" w:sz="0" w:space="0" w:color="auto"/>
        <w:right w:val="none" w:sz="0" w:space="0" w:color="auto"/>
      </w:divBdr>
    </w:div>
    <w:div w:id="948851175">
      <w:bodyDiv w:val="1"/>
      <w:marLeft w:val="0"/>
      <w:marRight w:val="0"/>
      <w:marTop w:val="0"/>
      <w:marBottom w:val="0"/>
      <w:divBdr>
        <w:top w:val="none" w:sz="0" w:space="0" w:color="auto"/>
        <w:left w:val="none" w:sz="0" w:space="0" w:color="auto"/>
        <w:bottom w:val="none" w:sz="0" w:space="0" w:color="auto"/>
        <w:right w:val="none" w:sz="0" w:space="0" w:color="auto"/>
      </w:divBdr>
    </w:div>
    <w:div w:id="1227495025">
      <w:bodyDiv w:val="1"/>
      <w:marLeft w:val="0"/>
      <w:marRight w:val="0"/>
      <w:marTop w:val="0"/>
      <w:marBottom w:val="0"/>
      <w:divBdr>
        <w:top w:val="none" w:sz="0" w:space="0" w:color="auto"/>
        <w:left w:val="none" w:sz="0" w:space="0" w:color="auto"/>
        <w:bottom w:val="none" w:sz="0" w:space="0" w:color="auto"/>
        <w:right w:val="none" w:sz="0" w:space="0" w:color="auto"/>
      </w:divBdr>
    </w:div>
    <w:div w:id="1342201590">
      <w:bodyDiv w:val="1"/>
      <w:marLeft w:val="0"/>
      <w:marRight w:val="0"/>
      <w:marTop w:val="0"/>
      <w:marBottom w:val="0"/>
      <w:divBdr>
        <w:top w:val="none" w:sz="0" w:space="0" w:color="auto"/>
        <w:left w:val="none" w:sz="0" w:space="0" w:color="auto"/>
        <w:bottom w:val="none" w:sz="0" w:space="0" w:color="auto"/>
        <w:right w:val="none" w:sz="0" w:space="0" w:color="auto"/>
      </w:divBdr>
    </w:div>
    <w:div w:id="1754937491">
      <w:bodyDiv w:val="1"/>
      <w:marLeft w:val="0"/>
      <w:marRight w:val="0"/>
      <w:marTop w:val="0"/>
      <w:marBottom w:val="0"/>
      <w:divBdr>
        <w:top w:val="none" w:sz="0" w:space="0" w:color="auto"/>
        <w:left w:val="none" w:sz="0" w:space="0" w:color="auto"/>
        <w:bottom w:val="none" w:sz="0" w:space="0" w:color="auto"/>
        <w:right w:val="none" w:sz="0" w:space="0" w:color="auto"/>
      </w:divBdr>
    </w:div>
    <w:div w:id="20740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sinsupport@weste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iningmsin.weste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phelpcenter.wested.org/hc/en-us/articles/7918499676692-How-To-Videos-Services-Service-Administration-and-the-SSD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96693152E0184C9CA33C8ABA840B8D" ma:contentTypeVersion="3" ma:contentTypeDescription="Create a new document." ma:contentTypeScope="" ma:versionID="7289d8d8077e830f32f7de9b7be21c6e">
  <xsd:schema xmlns:xsd="http://www.w3.org/2001/XMLSchema" xmlns:xs="http://www.w3.org/2001/XMLSchema" xmlns:p="http://schemas.microsoft.com/office/2006/metadata/properties" xmlns:ns3="bb514900-6308-4750-9255-a1110c214e5d" targetNamespace="http://schemas.microsoft.com/office/2006/metadata/properties" ma:root="true" ma:fieldsID="04f38e282f2c071db7932fbff4077a7b" ns3:_="">
    <xsd:import namespace="bb514900-6308-4750-9255-a1110c214e5d"/>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4900-6308-4750-9255-a1110c214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C03BF-E78F-40A8-A488-FCB543DA8B15}">
  <ds:schemaRefs>
    <ds:schemaRef ds:uri="http://schemas.microsoft.com/sharepoint/v3/contenttype/forms"/>
  </ds:schemaRefs>
</ds:datastoreItem>
</file>

<file path=customXml/itemProps2.xml><?xml version="1.0" encoding="utf-8"?>
<ds:datastoreItem xmlns:ds="http://schemas.openxmlformats.org/officeDocument/2006/customXml" ds:itemID="{CE61AEF7-164E-4783-90E1-EE53E8867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4900-6308-4750-9255-a1110c21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2F71A-95A4-4EB1-8AC6-7504DDC7E6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E7FDE-9702-4EDD-8718-C4BB5D67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Valencia</dc:creator>
  <cp:keywords/>
  <dc:description/>
  <cp:lastModifiedBy>Jose Valencia</cp:lastModifiedBy>
  <cp:revision>3</cp:revision>
  <cp:lastPrinted>2019-06-13T19:39:00Z</cp:lastPrinted>
  <dcterms:created xsi:type="dcterms:W3CDTF">2023-10-31T17:57:00Z</dcterms:created>
  <dcterms:modified xsi:type="dcterms:W3CDTF">2023-10-31T17:57:00Z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0x0101003296693152E0184C9CA33C8ABA840B8D</vt:lpwstr>
  </property>
</Properties>
</file>